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حسابداری و علوم مالی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نقی بهرامفر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حسابداری و حسابرسی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bahramfr@ut.ac.ir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کارشناسی,1352,مدیریت,تهران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B.S,1355,حسابداری,تهران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B.S,1373,حسابداری,تهران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رابطه بین نسبت های نقدینگی سنتی ونسبت های حاصل از صورت جریان وجوه نقد جه ارزیابی تداوم فعالیت شرکت ها. مهرانی ساسان,  ف غیور, بهرامفر نقی (1384)., بررسی های حسابداری و حسابرسی, 12(40), 3-17.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رابطه بین سود هر سهم سودتقسیمی وسرمایه گذاری در شرکت های پذیرفته شده بورس اوراق بهادار تهران. بهرامفر نقی, مهرانی کاوه (1383)., بررسی های حسابداری و حسابرسی, 11(36), 46-27.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تاثیرمتغیرهای حسابداری بربازده غیرعادی آتی سهام شرکتهای پذیرفته شده دربورس اوراق بهادرتهران. بهرامفر نقی,  سیدحسام شمس عالم (1383)., بررسی های حسابداری و حسابرسی, 11(37), 50-23.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محتوای اطلاعاتی اعلان سود یک شرکت بر سایر شرکتهای فعال در آن صنعت، عباس درست کار، نقی بهرامفر، کارشناسی ارشد،  1388/6/31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ترکیب هیات مدیره و درصد مالکیت مدیران غیرموظف هیات مدیره با محافظه کاری در حسابداری، عباس حسنی، نقی بهرامفر، کارشناسی ارشد،  1388/6/31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نقی بهرامفر| دانشکده حسابداری و علوم مالی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