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Kiyomars Ashtariyan</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Law and Political Science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(21)61112325</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ashtrian@ut.ac.ir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political science</w:t>
        <w:br/>
      </w:r>
      <w:r>
        <w:rPr>
          <w:rFonts w:ascii="ArialMT" w:hAnsi="ArialMT" w:cs="ArialMT" w:eastAsia="ArialMT"/>
          <w:sz w:val="20"/>
        </w:rPr>
        <w:t>Tehran</w:t>
      </w:r>
      <w:r>
        <w:tab/>
        <w:tab/>
        <w:t>null-yesr-char-null-yesr-char</w:t>
        <w:br/>
      </w:r>
      <w:r>
        <w:rPr>
          <w:rFonts w:ascii="Arial-BoldMT" w:hAnsi="Arial-BoldMT" w:cs="Arial-BoldMT" w:eastAsia="Arial-BoldMT"/>
          <w:b w:val="true"/>
          <w:sz w:val="20"/>
        </w:rPr>
        <w:t xml:space="preserve"> In political science</w:t>
        <w:br/>
      </w:r>
      <w:r>
        <w:rPr>
          <w:rFonts w:ascii="ArialMT" w:hAnsi="ArialMT" w:cs="ArialMT" w:eastAsia="ArialMT"/>
          <w:sz w:val="20"/>
        </w:rPr>
        <w:t>Laval</w:t>
      </w:r>
      <w:r>
        <w:tab/>
        <w:tab/>
        <w:t>null-yesr-char-null-yesr-char</w:t>
        <w:br/>
      </w:r>
      <w:r>
        <w:rPr>
          <w:rFonts w:ascii="Arial-BoldMT" w:hAnsi="Arial-BoldMT" w:cs="Arial-BoldMT" w:eastAsia="Arial-BoldMT"/>
          <w:b w:val="true"/>
          <w:sz w:val="20"/>
        </w:rPr>
        <w:t>Ph.D In a</w:t>
        <w:br/>
      </w:r>
      <w:r>
        <w:rPr>
          <w:rFonts w:ascii="ArialMT" w:hAnsi="ArialMT" w:cs="ArialMT" w:eastAsia="ArialMT"/>
          <w:sz w:val="20"/>
        </w:rPr>
        <w:t>Sds</w:t>
      </w:r>
      <w:r>
        <w:tab/>
        <w:tab/>
        <w:t>1994-1998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48</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Theorizing in Political Science and Public Policy (The First Part). Ashtariyan Kiyomars (2023)., The Journal of Public Policy, 9(1), 9.</w:t>
        <w:br/>
        <w:br/>
      </w:r>
      <w:r>
        <w:rPr>
          <w:rFonts w:ascii="Arial-BoldMT" w:hAnsi="Arial-BoldMT" w:cs="Arial-BoldMT" w:eastAsia="Arial-BoldMT"/>
          <w:b w:val="true"/>
          <w:sz w:val="20"/>
        </w:rPr>
        <w:t xml:space="preserve">2.  </w:t>
      </w:r>
      <w:r>
        <w:rPr>
          <w:rFonts w:ascii="Arial-BoldMT" w:hAnsi="Arial-BoldMT" w:cs="Arial-BoldMT" w:eastAsia="Arial-BoldMT"/>
          <w:sz w:val="20"/>
        </w:rPr>
        <w:t>The Fourth Industrial Revolution and transformation in governance: Forming a data mining and intelligent planning organization in the 7th Development Plan. Ashtariyan Kiyomars (2022)., Interdisciplinary Studies in the Humanities, 15(1).</w:t>
        <w:br/>
        <w:br/>
      </w:r>
      <w:r>
        <w:rPr>
          <w:rFonts w:ascii="Arial-BoldMT" w:hAnsi="Arial-BoldMT" w:cs="Arial-BoldMT" w:eastAsia="Arial-BoldMT"/>
          <w:b w:val="true"/>
          <w:sz w:val="20"/>
        </w:rPr>
        <w:t xml:space="preserve">3.  </w:t>
      </w:r>
      <w:r>
        <w:rPr>
          <w:rFonts w:ascii="Arial-BoldMT" w:hAnsi="Arial-BoldMT" w:cs="Arial-BoldMT" w:eastAsia="Arial-BoldMT"/>
          <w:sz w:val="20"/>
        </w:rPr>
        <w:t>Network governance theory as basic pattern for promoting financial support system of the poor in Iranian health system. etemadi manal, Kenis Patrick, Ashtariyan Kiyomars, gorgi hasan abolghasem, Mohammadi Kangarani Hannane (2021)., BMC HEALTH SERVICES RESEARCH, 21(1), 1.</w:t>
        <w:br/>
        <w:br/>
      </w:r>
      <w:r>
        <w:rPr>
          <w:rFonts w:ascii="Arial-BoldMT" w:hAnsi="Arial-BoldMT" w:cs="Arial-BoldMT" w:eastAsia="Arial-BoldMT"/>
          <w:b w:val="true"/>
          <w:sz w:val="20"/>
        </w:rPr>
        <w:t xml:space="preserve">4.  </w:t>
      </w:r>
      <w:r>
        <w:rPr>
          <w:rFonts w:ascii="Arial-BoldMT" w:hAnsi="Arial-BoldMT" w:cs="Arial-BoldMT" w:eastAsia="Arial-BoldMT"/>
          <w:sz w:val="20"/>
        </w:rPr>
        <w:t>Designing a model of corporate cultural responsibility in urban policy making. Ashtariyan Kiyomars, خالقی پور بشیر (2020)., The Journal of Public Policy, 6(3), 145.</w:t>
        <w:br/>
        <w:br/>
      </w:r>
      <w:r>
        <w:rPr>
          <w:rFonts w:ascii="Arial-BoldMT" w:hAnsi="Arial-BoldMT" w:cs="Arial-BoldMT" w:eastAsia="Arial-BoldMT"/>
          <w:b w:val="true"/>
          <w:sz w:val="20"/>
        </w:rPr>
        <w:t xml:space="preserve">5.  </w:t>
      </w:r>
      <w:r>
        <w:rPr>
          <w:rFonts w:ascii="Arial-BoldMT" w:hAnsi="Arial-BoldMT" w:cs="Arial-BoldMT" w:eastAsia="Arial-BoldMT"/>
          <w:sz w:val="20"/>
        </w:rPr>
        <w:t>Have the poor been considered in the Health Sector Evolution Plan? A qualitative study of the Iranian health system. etemadi manal, Ashtariyan Kiyomars, Ganji Nader, Mohammadi Kangarani Hannane, gorgi hasan abolghasem (2020)., International Journal of Human Rights in Health Care, 13(1), 45.</w:t>
        <w:br/>
        <w:br/>
      </w:r>
      <w:r>
        <w:rPr>
          <w:rFonts w:ascii="Arial-BoldMT" w:hAnsi="Arial-BoldMT" w:cs="Arial-BoldMT" w:eastAsia="Arial-BoldMT"/>
          <w:b w:val="true"/>
          <w:sz w:val="20"/>
        </w:rPr>
        <w:t xml:space="preserve">6.  </w:t>
      </w:r>
      <w:r>
        <w:rPr>
          <w:rFonts w:ascii="Arial-BoldMT" w:hAnsi="Arial-BoldMT" w:cs="Arial-BoldMT" w:eastAsia="Arial-BoldMT"/>
          <w:sz w:val="20"/>
        </w:rPr>
        <w:t>Multilevel model of participatory policy making. Ashtariyan Kiyomars, [] [] (2020)., politics, 50(2), 423.</w:t>
        <w:br/>
        <w:br/>
      </w:r>
      <w:r>
        <w:rPr>
          <w:rFonts w:ascii="Arial-BoldMT" w:hAnsi="Arial-BoldMT" w:cs="Arial-BoldMT" w:eastAsia="Arial-BoldMT"/>
          <w:b w:val="true"/>
          <w:sz w:val="20"/>
        </w:rPr>
        <w:t xml:space="preserve">7.  </w:t>
      </w:r>
      <w:r>
        <w:rPr>
          <w:rFonts w:ascii="Arial-BoldMT" w:hAnsi="Arial-BoldMT" w:cs="Arial-BoldMT" w:eastAsia="Arial-BoldMT"/>
          <w:sz w:val="20"/>
        </w:rPr>
        <w:t>Which groups of the poor are supported more by the law? Pro‐poor health policy network in Iran. etemadi manal, Ashtariyan Kiyomars, gorgi hasan abolghasem, Mohammadi Kangarani Hannane (2019)., INTERNATIONAL JOURNAL OF HEALTH PLANNING AND MANAGEMENT, 34(2), 1.</w:t>
        <w:br/>
        <w:br/>
      </w:r>
      <w:r>
        <w:rPr>
          <w:rFonts w:ascii="Arial-BoldMT" w:hAnsi="Arial-BoldMT" w:cs="Arial-BoldMT" w:eastAsia="Arial-BoldMT"/>
          <w:b w:val="true"/>
          <w:sz w:val="20"/>
        </w:rPr>
        <w:t xml:space="preserve">8.  </w:t>
      </w:r>
      <w:r>
        <w:rPr>
          <w:rFonts w:ascii="Arial-BoldMT" w:hAnsi="Arial-BoldMT" w:cs="Arial-BoldMT" w:eastAsia="Arial-BoldMT"/>
          <w:sz w:val="20"/>
        </w:rPr>
        <w:t>Fourth Industrial Revolution; Readiness to Change Health Policy. Ashtariyan Kiyomars, etemadi manal (2018)., Iranian Journal of Health Insurance (IJHI), 1(3), 60.</w:t>
        <w:br/>
        <w:br/>
      </w:r>
      <w:r>
        <w:rPr>
          <w:rFonts w:ascii="Arial-BoldMT" w:hAnsi="Arial-BoldMT" w:cs="Arial-BoldMT" w:eastAsia="Arial-BoldMT"/>
          <w:b w:val="true"/>
          <w:sz w:val="20"/>
        </w:rPr>
        <w:t xml:space="preserve">9.  </w:t>
      </w:r>
      <w:r>
        <w:rPr>
          <w:rFonts w:ascii="Arial-BoldMT" w:hAnsi="Arial-BoldMT" w:cs="Arial-BoldMT" w:eastAsia="Arial-BoldMT"/>
          <w:sz w:val="20"/>
        </w:rPr>
        <w:t>Which Social Values Are Considered in Iranian Health System?. Rashidiyan Arash, arab mohamad, vaez mahdavi mohamadreza, Ashtariyan Kiyomars, mostafavi hakemeh (2018)., Archives of Iranian Medicine, 21(5).</w:t>
        <w:br/>
        <w:br/>
      </w:r>
      <w:r>
        <w:rPr>
          <w:rFonts w:ascii="Arial-BoldMT" w:hAnsi="Arial-BoldMT" w:cs="Arial-BoldMT" w:eastAsia="Arial-BoldMT"/>
          <w:b w:val="true"/>
          <w:sz w:val="20"/>
        </w:rPr>
        <w:t xml:space="preserve">10.  </w:t>
      </w:r>
      <w:r>
        <w:rPr>
          <w:rFonts w:ascii="Arial-BoldMT" w:hAnsi="Arial-BoldMT" w:cs="Arial-BoldMT" w:eastAsia="Arial-BoldMT"/>
          <w:sz w:val="20"/>
        </w:rPr>
        <w:t>ssww. Ashtariyan Kiyomars, mehrvarzian taher (2018)., Theoretical policy research, 24(1), 65-92.</w:t>
        <w:br/>
        <w:br/>
      </w:r>
      <w:r>
        <w:rPr>
          <w:rFonts w:ascii="Arial-BoldMT" w:hAnsi="Arial-BoldMT" w:cs="Arial-BoldMT" w:eastAsia="Arial-BoldMT"/>
          <w:b w:val="true"/>
          <w:sz w:val="20"/>
        </w:rPr>
        <w:t xml:space="preserve">11.  </w:t>
      </w:r>
      <w:r>
        <w:rPr>
          <w:rFonts w:ascii="Arial-BoldMT" w:hAnsi="Arial-BoldMT" w:cs="Arial-BoldMT" w:eastAsia="Arial-BoldMT"/>
          <w:sz w:val="20"/>
        </w:rPr>
        <w:t>Power structure among the actors of financial support to the poor to access health services: Social network analysis approach. etemadi manal, gorgi hasan abolghasem, Mohamadi Kangarani Hananeh, Ashtariyan Kiyomars (2017)., SOCIAL SCIENCE &amp; MEDICINE, 195(4), 1-11.</w:t>
        <w:br/>
        <w:br/>
      </w:r>
      <w:r>
        <w:rPr>
          <w:rFonts w:ascii="Arial-BoldMT" w:hAnsi="Arial-BoldMT" w:cs="Arial-BoldMT" w:eastAsia="Arial-BoldMT"/>
          <w:b w:val="true"/>
          <w:sz w:val="20"/>
        </w:rPr>
        <w:t xml:space="preserve">12.  </w:t>
      </w:r>
      <w:r>
        <w:rPr>
          <w:rFonts w:ascii="Arial-BoldMT" w:hAnsi="Arial-BoldMT" w:cs="Arial-BoldMT" w:eastAsia="Arial-BoldMT"/>
          <w:sz w:val="20"/>
        </w:rPr>
        <w:t>aqwaz. Ashtariyan Kiyomars, Karimi Hassan (2016)., The state studies quarterly, 2(7), 95.</w:t>
        <w:br/>
        <w:br/>
      </w:r>
      <w:r>
        <w:rPr>
          <w:rFonts w:ascii="Arial-BoldMT" w:hAnsi="Arial-BoldMT" w:cs="Arial-BoldMT" w:eastAsia="Arial-BoldMT"/>
          <w:b w:val="true"/>
          <w:sz w:val="20"/>
        </w:rPr>
        <w:t xml:space="preserve">13.  </w:t>
      </w:r>
      <w:r>
        <w:rPr>
          <w:rFonts w:ascii="Arial-BoldMT" w:hAnsi="Arial-BoldMT" w:cs="Arial-BoldMT" w:eastAsia="Arial-BoldMT"/>
          <w:sz w:val="20"/>
        </w:rPr>
        <w:t>bnc. Ashtariyan Kiyomars, Emami Mibodi Razie (2016)., Political knowledge, 10(20), 5.</w:t>
        <w:br/>
        <w:br/>
      </w:r>
      <w:r>
        <w:rPr>
          <w:rFonts w:ascii="Arial-BoldMT" w:hAnsi="Arial-BoldMT" w:cs="Arial-BoldMT" w:eastAsia="Arial-BoldMT"/>
          <w:b w:val="true"/>
          <w:sz w:val="20"/>
        </w:rPr>
        <w:t xml:space="preserve">14.  </w:t>
      </w:r>
      <w:r>
        <w:rPr>
          <w:rFonts w:ascii="Arial-BoldMT" w:hAnsi="Arial-BoldMT" w:cs="Arial-BoldMT" w:eastAsia="Arial-BoldMT"/>
          <w:sz w:val="20"/>
        </w:rPr>
        <w:t>paper. Ashtariyan Kiyomars, Amirzadeh Mohammad Reza (2016)., politics, 45(16), 825.</w:t>
        <w:br/>
        <w:br/>
      </w:r>
      <w:r>
        <w:rPr>
          <w:rFonts w:ascii="Arial-BoldMT" w:hAnsi="Arial-BoldMT" w:cs="Arial-BoldMT" w:eastAsia="Arial-BoldMT"/>
          <w:b w:val="true"/>
          <w:sz w:val="20"/>
        </w:rPr>
        <w:t xml:space="preserve">15.  </w:t>
      </w:r>
      <w:r>
        <w:rPr>
          <w:rFonts w:ascii="Arial-BoldMT" w:hAnsi="Arial-BoldMT" w:cs="Arial-BoldMT" w:eastAsia="Arial-BoldMT"/>
          <w:sz w:val="20"/>
        </w:rPr>
        <w:t>paper2. Khaje Naieni Ali, Ashtariyan Kiyomars, Mohamadi Kangarani Hananeh, Ghonche Diba (2015)., management resarch in iran, 19(3), 107.</w:t>
        <w:br/>
        <w:br/>
      </w:r>
      <w:r>
        <w:rPr>
          <w:rFonts w:ascii="Arial-BoldMT" w:hAnsi="Arial-BoldMT" w:cs="Arial-BoldMT" w:eastAsia="Arial-BoldMT"/>
          <w:b w:val="true"/>
          <w:sz w:val="20"/>
        </w:rPr>
        <w:t xml:space="preserve">16.  </w:t>
      </w:r>
      <w:r>
        <w:rPr>
          <w:rFonts w:ascii="Arial-BoldMT" w:hAnsi="Arial-BoldMT" w:cs="Arial-BoldMT" w:eastAsia="Arial-BoldMT"/>
          <w:sz w:val="20"/>
        </w:rPr>
        <w:t>papper. Ashtariyan Kiyomars, Keshvardoost Samane, Farahani Majid (2015)., politics, 1(2), 17.</w:t>
        <w:br/>
        <w:br/>
      </w:r>
      <w:r>
        <w:rPr>
          <w:rFonts w:ascii="Arial-BoldMT" w:hAnsi="Arial-BoldMT" w:cs="Arial-BoldMT" w:eastAsia="Arial-BoldMT"/>
          <w:b w:val="true"/>
          <w:sz w:val="20"/>
        </w:rPr>
        <w:t xml:space="preserve">17.  </w:t>
      </w:r>
      <w:r>
        <w:rPr>
          <w:rFonts w:ascii="Arial-BoldMT" w:hAnsi="Arial-BoldMT" w:cs="Arial-BoldMT" w:eastAsia="Arial-BoldMT"/>
          <w:sz w:val="20"/>
        </w:rPr>
        <w:t>xc. Khaje Naieni Ali, Ashtariyan Kiyomars, Ghonche Diba, Mohamadi Kangarani Hananeh (2015)., Rahbord, 24(74), 155.</w:t>
        <w:br/>
        <w:br/>
      </w:r>
      <w:r>
        <w:rPr>
          <w:rFonts w:ascii="Arial-BoldMT" w:hAnsi="Arial-BoldMT" w:cs="Arial-BoldMT" w:eastAsia="Arial-BoldMT"/>
          <w:b w:val="true"/>
          <w:sz w:val="20"/>
        </w:rPr>
        <w:t xml:space="preserve">18.  </w:t>
      </w:r>
      <w:r>
        <w:rPr>
          <w:rFonts w:ascii="Arial-BoldMT" w:hAnsi="Arial-BoldMT" w:cs="Arial-BoldMT" w:eastAsia="Arial-BoldMT"/>
          <w:sz w:val="20"/>
        </w:rPr>
        <w:t>unesco science report , iran. Ashtariyan Kiyomars (2015).</w:t>
        <w:br/>
        <w:br/>
      </w:r>
      <w:r>
        <w:rPr>
          <w:rFonts w:ascii="Arial-BoldMT" w:hAnsi="Arial-BoldMT" w:cs="Arial-BoldMT" w:eastAsia="Arial-BoldMT"/>
          <w:b w:val="true"/>
          <w:sz w:val="20"/>
        </w:rPr>
        <w:t xml:space="preserve">19.  </w:t>
      </w:r>
      <w:r>
        <w:rPr>
          <w:rFonts w:ascii="Arial-BoldMT" w:hAnsi="Arial-BoldMT" w:cs="Arial-BoldMT" w:eastAsia="Arial-BoldMT"/>
          <w:sz w:val="20"/>
        </w:rPr>
        <w:t>vvvhg. Ashtariyan Kiyomars, Keshvardoost Samane, Hajeasggari Fatemeh (2014)., Political Science, 9(4), 7.</w:t>
        <w:br/>
        <w:br/>
      </w:r>
      <w:r>
        <w:rPr>
          <w:rFonts w:ascii="Arial-BoldMT" w:hAnsi="Arial-BoldMT" w:cs="Arial-BoldMT" w:eastAsia="Arial-BoldMT"/>
          <w:b w:val="true"/>
          <w:sz w:val="20"/>
        </w:rPr>
        <w:t xml:space="preserve">20.  </w:t>
      </w:r>
      <w:r>
        <w:rPr>
          <w:rFonts w:ascii="Arial-BoldMT" w:hAnsi="Arial-BoldMT" w:cs="Arial-BoldMT" w:eastAsia="Arial-BoldMT"/>
          <w:sz w:val="20"/>
        </w:rPr>
        <w:t>Examination of Political Factors’ Impact on Enforcement of the Fifth Development Plan: case study of health care. Ashtariyan Kiyomars, Keshvardoost Jobaneh Samaneh, Haji Ahmadi Fatemeh (2014)., Political Science, دوره نهم(شماره چهارم), 7-22.</w:t>
        <w:br/>
        <w:br/>
      </w:r>
      <w:r>
        <w:rPr>
          <w:rFonts w:ascii="Arial-BoldMT" w:hAnsi="Arial-BoldMT" w:cs="Arial-BoldMT" w:eastAsia="Arial-BoldMT"/>
          <w:b w:val="true"/>
          <w:sz w:val="20"/>
        </w:rPr>
        <w:t xml:space="preserve">21.  </w:t>
      </w:r>
      <w:r>
        <w:rPr>
          <w:rFonts w:ascii="Arial-BoldMT" w:hAnsi="Arial-BoldMT" w:cs="Arial-BoldMT" w:eastAsia="Arial-BoldMT"/>
          <w:sz w:val="20"/>
        </w:rPr>
        <w:t>cvd. Khaje Naieni Ali, Ashtariyan Kiyomars, Hashemi Safeyeh (2014)., Rahbord, 23(72), 1.</w:t>
        <w:br/>
        <w:br/>
      </w:r>
      <w:r>
        <w:rPr>
          <w:rFonts w:ascii="Arial-BoldMT" w:hAnsi="Arial-BoldMT" w:cs="Arial-BoldMT" w:eastAsia="Arial-BoldMT"/>
          <w:b w:val="true"/>
          <w:sz w:val="20"/>
        </w:rPr>
        <w:t xml:space="preserve">22.  </w:t>
      </w:r>
      <w:r>
        <w:rPr>
          <w:rFonts w:ascii="Arial-BoldMT" w:hAnsi="Arial-BoldMT" w:cs="Arial-BoldMT" w:eastAsia="Arial-BoldMT"/>
          <w:sz w:val="20"/>
        </w:rPr>
        <w:t>network analysis. Khajeh Naeini Ali, Ashtariyan Kiyomars, محمدی کنگرانی حنانه (2014)., management resarch in iran, 18(2), 25.</w:t>
        <w:br/>
        <w:br/>
      </w:r>
      <w:r>
        <w:rPr>
          <w:rFonts w:ascii="Arial-BoldMT" w:hAnsi="Arial-BoldMT" w:cs="Arial-BoldMT" w:eastAsia="Arial-BoldMT"/>
          <w:b w:val="true"/>
          <w:sz w:val="20"/>
        </w:rPr>
        <w:t xml:space="preserve">23.  </w:t>
      </w:r>
      <w:r>
        <w:rPr>
          <w:rFonts w:ascii="Arial-BoldMT" w:hAnsi="Arial-BoldMT" w:cs="Arial-BoldMT" w:eastAsia="Arial-BoldMT"/>
          <w:sz w:val="20"/>
        </w:rPr>
        <w:t>Systematic review 2. Ashtariyan Kiyomars, Emami Mibodi Razie (2013)., politics, 43(2), 3-19.</w:t>
        <w:br/>
        <w:br/>
      </w:r>
      <w:r>
        <w:rPr>
          <w:rFonts w:ascii="Arial-BoldMT" w:hAnsi="Arial-BoldMT" w:cs="Arial-BoldMT" w:eastAsia="Arial-BoldMT"/>
          <w:b w:val="true"/>
          <w:sz w:val="20"/>
        </w:rPr>
        <w:t xml:space="preserve">24.  </w:t>
      </w:r>
      <w:r>
        <w:rPr>
          <w:rFonts w:ascii="Arial-BoldMT" w:hAnsi="Arial-BoldMT" w:cs="Arial-BoldMT" w:eastAsia="Arial-BoldMT"/>
          <w:sz w:val="20"/>
        </w:rPr>
        <w:t>rtyr. Ashtariyan Kiyomars, Amirzade Mohamadreza (2013)., pajouhesh haye enghelab eslami, 2(4), 77.</w:t>
        <w:br/>
        <w:br/>
      </w:r>
      <w:r>
        <w:rPr>
          <w:rFonts w:ascii="Arial-BoldMT" w:hAnsi="Arial-BoldMT" w:cs="Arial-BoldMT" w:eastAsia="Arial-BoldMT"/>
          <w:b w:val="true"/>
          <w:sz w:val="20"/>
        </w:rPr>
        <w:t xml:space="preserve">25.  </w:t>
      </w:r>
      <w:r>
        <w:rPr>
          <w:rFonts w:ascii="Arial-BoldMT" w:hAnsi="Arial-BoldMT" w:cs="Arial-BoldMT" w:eastAsia="Arial-BoldMT"/>
          <w:sz w:val="20"/>
        </w:rPr>
        <w:t>Science, technology and innovation policy.2. Ashtariyan Kiyomars (2013)., Jouranl Of Science and Technology Policy, 2(3), 7-14.</w:t>
        <w:br/>
        <w:br/>
      </w:r>
      <w:r>
        <w:rPr>
          <w:rFonts w:ascii="Arial-BoldMT" w:hAnsi="Arial-BoldMT" w:cs="Arial-BoldMT" w:eastAsia="Arial-BoldMT"/>
          <w:b w:val="true"/>
          <w:sz w:val="20"/>
        </w:rPr>
        <w:t xml:space="preserve">26.  </w:t>
      </w:r>
      <w:r>
        <w:rPr>
          <w:rFonts w:ascii="Arial-BoldMT" w:hAnsi="Arial-BoldMT" w:cs="Arial-BoldMT" w:eastAsia="Arial-BoldMT"/>
          <w:sz w:val="20"/>
        </w:rPr>
        <w:t>pos. Ashtariyan Kiyomars, Roshan Hamed (2013)., Economic Strategy, 2(5), 117.</w:t>
        <w:br/>
        <w:br/>
      </w:r>
      <w:r>
        <w:rPr>
          <w:rFonts w:ascii="Arial-BoldMT" w:hAnsi="Arial-BoldMT" w:cs="Arial-BoldMT" w:eastAsia="Arial-BoldMT"/>
          <w:b w:val="true"/>
          <w:sz w:val="20"/>
        </w:rPr>
        <w:t xml:space="preserve">27.  </w:t>
      </w:r>
      <w:r>
        <w:rPr>
          <w:rFonts w:ascii="Arial-BoldMT" w:hAnsi="Arial-BoldMT" w:cs="Arial-BoldMT" w:eastAsia="Arial-BoldMT"/>
          <w:sz w:val="20"/>
        </w:rPr>
        <w:t>Science, technology and innovation policy.. Ashtariyan Kiyomars (2013)., Jouranl Of Science and Technology Policy, 2(1), 94-107.</w:t>
        <w:br/>
        <w:br/>
      </w:r>
      <w:r>
        <w:rPr>
          <w:rFonts w:ascii="Arial-BoldMT" w:hAnsi="Arial-BoldMT" w:cs="Arial-BoldMT" w:eastAsia="Arial-BoldMT"/>
          <w:b w:val="true"/>
          <w:sz w:val="20"/>
        </w:rPr>
        <w:t xml:space="preserve">28.  </w:t>
      </w:r>
      <w:r>
        <w:rPr>
          <w:rFonts w:ascii="Arial-BoldMT" w:hAnsi="Arial-BoldMT" w:cs="Arial-BoldMT" w:eastAsia="Arial-BoldMT"/>
          <w:sz w:val="20"/>
        </w:rPr>
        <w:t>Systematic review. Ashtariyan Kiyomars, Emami Mibodi Razie (2013)., politics, 42(3), 1.</w:t>
        <w:br/>
        <w:br/>
      </w:r>
      <w:r>
        <w:rPr>
          <w:rFonts w:ascii="Arial-BoldMT" w:hAnsi="Arial-BoldMT" w:cs="Arial-BoldMT" w:eastAsia="Arial-BoldMT"/>
          <w:b w:val="true"/>
          <w:sz w:val="20"/>
        </w:rPr>
        <w:t xml:space="preserve">29.  </w:t>
      </w:r>
      <w:r>
        <w:rPr>
          <w:rFonts w:ascii="Arial-BoldMT" w:hAnsi="Arial-BoldMT" w:cs="Arial-BoldMT" w:eastAsia="Arial-BoldMT"/>
          <w:sz w:val="20"/>
        </w:rPr>
        <w:t>paz. Emami Mibodi Razie, Ashtariyan Kiyomars (2012)., Political Science, 7(2), 7.</w:t>
        <w:br/>
        <w:br/>
      </w:r>
      <w:r>
        <w:rPr>
          <w:rFonts w:ascii="Arial-BoldMT" w:hAnsi="Arial-BoldMT" w:cs="Arial-BoldMT" w:eastAsia="Arial-BoldMT"/>
          <w:b w:val="true"/>
          <w:sz w:val="20"/>
        </w:rPr>
        <w:t xml:space="preserve">30.  </w:t>
      </w:r>
      <w:r>
        <w:rPr>
          <w:rFonts w:ascii="Arial-BoldMT" w:hAnsi="Arial-BoldMT" w:cs="Arial-BoldMT" w:eastAsia="Arial-BoldMT"/>
          <w:sz w:val="20"/>
        </w:rPr>
        <w:t>Institutional Modeling of Iranian Public Policy Evaluation. Ashtariyan Kiyomars, Emami Mibodi Razie (2012)., Political Science, 7(2), 7.</w:t>
        <w:br/>
        <w:br/>
      </w:r>
      <w:r>
        <w:rPr>
          <w:rFonts w:ascii="Arial-BoldMT" w:hAnsi="Arial-BoldMT" w:cs="Arial-BoldMT" w:eastAsia="Arial-BoldMT"/>
          <w:b w:val="true"/>
          <w:sz w:val="20"/>
        </w:rPr>
        <w:t xml:space="preserve">31.  </w:t>
      </w:r>
      <w:r>
        <w:rPr>
          <w:rFonts w:ascii="Arial-BoldMT" w:hAnsi="Arial-BoldMT" w:cs="Arial-BoldMT" w:eastAsia="Arial-BoldMT"/>
          <w:sz w:val="20"/>
        </w:rPr>
        <w:t>Investigation of the effects of formal and informal lobbying of organizations on budget allocation, study of natural resources field in 4th development plan of Kohgiloye and Boyerahmad Province. Mohamadi Kangarani Hananeh, Shamkhi Taghi, Ashtariyan Kiyomars (2011)., Iranian Journal of Forest, 2(4), 331.</w:t>
        <w:br/>
        <w:br/>
      </w:r>
      <w:r>
        <w:rPr>
          <w:rFonts w:ascii="Arial-BoldMT" w:hAnsi="Arial-BoldMT" w:cs="Arial-BoldMT" w:eastAsia="Arial-BoldMT"/>
          <w:b w:val="true"/>
          <w:sz w:val="20"/>
        </w:rPr>
        <w:t xml:space="preserve">32.  </w:t>
      </w:r>
      <w:r>
        <w:rPr>
          <w:rFonts w:ascii="Arial-BoldMT" w:hAnsi="Arial-BoldMT" w:cs="Arial-BoldMT" w:eastAsia="Arial-BoldMT"/>
          <w:sz w:val="20"/>
        </w:rPr>
        <w:t>unesco science report 2010: iran. Ashtariyan Kiyomars (2010).</w:t>
        <w:br/>
        <w:br/>
      </w:r>
      <w:r>
        <w:rPr>
          <w:rFonts w:ascii="Arial-BoldMT" w:hAnsi="Arial-BoldMT" w:cs="Arial-BoldMT" w:eastAsia="Arial-BoldMT"/>
          <w:b w:val="true"/>
          <w:sz w:val="20"/>
        </w:rPr>
        <w:t xml:space="preserve">33.  </w:t>
      </w:r>
      <w:r>
        <w:rPr>
          <w:rFonts w:ascii="Arial-BoldMT" w:hAnsi="Arial-BoldMT" w:cs="Arial-BoldMT" w:eastAsia="Arial-BoldMT"/>
          <w:sz w:val="20"/>
        </w:rPr>
        <w:t>unesco science report 2010: irann. Ashtariyan Kiyomars (2010).</w:t>
        <w:br/>
        <w:br/>
      </w:r>
      <w:r>
        <w:rPr>
          <w:rFonts w:ascii="Arial-BoldMT" w:hAnsi="Arial-BoldMT" w:cs="Arial-BoldMT" w:eastAsia="Arial-BoldMT"/>
          <w:b w:val="true"/>
          <w:sz w:val="20"/>
        </w:rPr>
        <w:t xml:space="preserve">34.  </w:t>
      </w:r>
      <w:r>
        <w:rPr>
          <w:rFonts w:ascii="Arial-BoldMT" w:hAnsi="Arial-BoldMT" w:cs="Arial-BoldMT" w:eastAsia="Arial-BoldMT"/>
          <w:sz w:val="20"/>
        </w:rPr>
        <w:t>.  محمد بابایی,  رضا عرب داود, Shamkhi Taghi, Ashtariyan Kiyomars,  محمدی کنگرانی حنانه (2010)., Iranian Journal of Forest, 1(4), -.</w:t>
        <w:br/>
        <w:br/>
      </w:r>
      <w:r>
        <w:rPr>
          <w:rFonts w:ascii="Arial-BoldMT" w:hAnsi="Arial-BoldMT" w:cs="Arial-BoldMT" w:eastAsia="Arial-BoldMT"/>
          <w:b w:val="true"/>
          <w:sz w:val="20"/>
        </w:rPr>
        <w:t xml:space="preserve">35.  </w:t>
      </w:r>
      <w:r>
        <w:rPr>
          <w:rFonts w:ascii="Arial-BoldMT" w:hAnsi="Arial-BoldMT" w:cs="Arial-BoldMT" w:eastAsia="Arial-BoldMT"/>
          <w:sz w:val="20"/>
        </w:rPr>
        <w:t>knowledge management. Ashtariyan Kiyomars (2009).</w:t>
        <w:br/>
        <w:br/>
      </w:r>
      <w:r>
        <w:rPr>
          <w:rFonts w:ascii="Arial-BoldMT" w:hAnsi="Arial-BoldMT" w:cs="Arial-BoldMT" w:eastAsia="Arial-BoldMT"/>
          <w:b w:val="true"/>
          <w:sz w:val="20"/>
        </w:rPr>
        <w:t xml:space="preserve">36.  </w:t>
      </w:r>
      <w:r>
        <w:rPr>
          <w:rFonts w:ascii="Arial-BoldMT" w:hAnsi="Arial-BoldMT" w:cs="Arial-BoldMT" w:eastAsia="Arial-BoldMT"/>
          <w:sz w:val="20"/>
        </w:rPr>
        <w:t>. Ashtariyan Kiyomars (2009).</w:t>
        <w:br/>
        <w:br/>
      </w:r>
      <w:r>
        <w:rPr>
          <w:rFonts w:ascii="Arial-BoldMT" w:hAnsi="Arial-BoldMT" w:cs="Arial-BoldMT" w:eastAsia="Arial-BoldMT"/>
          <w:b w:val="true"/>
          <w:sz w:val="20"/>
        </w:rPr>
        <w:t xml:space="preserve">37.  </w:t>
      </w:r>
      <w:r>
        <w:rPr>
          <w:rFonts w:ascii="Arial-BoldMT" w:hAnsi="Arial-BoldMT" w:cs="Arial-BoldMT" w:eastAsia="Arial-BoldMT"/>
          <w:sz w:val="20"/>
        </w:rPr>
        <w:t>. Ashtariyan Kiyomars (2009)., politics, 39(3), 37-51.</w:t>
        <w:br/>
        <w:br/>
      </w:r>
      <w:r>
        <w:rPr>
          <w:rFonts w:ascii="Arial-BoldMT" w:hAnsi="Arial-BoldMT" w:cs="Arial-BoldMT" w:eastAsia="Arial-BoldMT"/>
          <w:b w:val="true"/>
          <w:sz w:val="20"/>
        </w:rPr>
        <w:t xml:space="preserve">38.  </w:t>
      </w:r>
      <w:r>
        <w:rPr>
          <w:rFonts w:ascii="Arial-BoldMT" w:hAnsi="Arial-BoldMT" w:cs="Arial-BoldMT" w:eastAsia="Arial-BoldMT"/>
          <w:sz w:val="20"/>
        </w:rPr>
        <w:t>.  حنانه محمدی کنگرانی, Shamkhi Taghi, Ashtariyan Kiyomars,  داودرضا عرب,  دیوید نوک (2009)., JOURNAL OF FOREST AND WOOD PRODUCTS (JFWP) (IRANIAN JOURNAL OF NATURAL RESOURCES), 1(2), 204-220.</w:t>
        <w:br/>
        <w:br/>
      </w:r>
      <w:r>
        <w:rPr>
          <w:rFonts w:ascii="Arial-BoldMT" w:hAnsi="Arial-BoldMT" w:cs="Arial-BoldMT" w:eastAsia="Arial-BoldMT"/>
          <w:b w:val="true"/>
          <w:sz w:val="20"/>
        </w:rPr>
        <w:t xml:space="preserve">39.  </w:t>
      </w:r>
      <w:r>
        <w:rPr>
          <w:rFonts w:ascii="Arial-BoldMT" w:hAnsi="Arial-BoldMT" w:cs="Arial-BoldMT" w:eastAsia="Arial-BoldMT"/>
          <w:sz w:val="20"/>
        </w:rPr>
        <w:t>. Ashtariyan Kiyomars,  راضیه امامی میبدی (2009)., politics, 38(4), 99-112.</w:t>
        <w:br/>
        <w:br/>
      </w:r>
      <w:r>
        <w:rPr>
          <w:rFonts w:ascii="Arial-BoldMT" w:hAnsi="Arial-BoldMT" w:cs="Arial-BoldMT" w:eastAsia="Arial-BoldMT"/>
          <w:b w:val="true"/>
          <w:sz w:val="20"/>
        </w:rPr>
        <w:t xml:space="preserve">40.  </w:t>
      </w:r>
      <w:r>
        <w:rPr>
          <w:rFonts w:ascii="Arial-BoldMT" w:hAnsi="Arial-BoldMT" w:cs="Arial-BoldMT" w:eastAsia="Arial-BoldMT"/>
          <w:sz w:val="20"/>
        </w:rPr>
        <w:t>. Ashtariyan Kiyomars (2008)., Private Law Studies Review, 38(1), -.</w:t>
        <w:br/>
        <w:br/>
      </w:r>
      <w:r>
        <w:rPr>
          <w:rFonts w:ascii="Arial-BoldMT" w:hAnsi="Arial-BoldMT" w:cs="Arial-BoldMT" w:eastAsia="Arial-BoldMT"/>
          <w:b w:val="true"/>
          <w:sz w:val="20"/>
        </w:rPr>
        <w:t xml:space="preserve">41.  </w:t>
      </w:r>
      <w:r>
        <w:rPr>
          <w:rFonts w:ascii="Arial-BoldMT" w:hAnsi="Arial-BoldMT" w:cs="Arial-BoldMT" w:eastAsia="Arial-BoldMT"/>
          <w:sz w:val="20"/>
        </w:rPr>
        <w:t>. Ashtariyan Kiyomars (2007)., a, 1(841), 30-34.</w:t>
        <w:br/>
        <w:br/>
      </w:r>
      <w:r>
        <w:rPr>
          <w:rFonts w:ascii="Arial-BoldMT" w:hAnsi="Arial-BoldMT" w:cs="Arial-BoldMT" w:eastAsia="Arial-BoldMT"/>
          <w:b w:val="true"/>
          <w:sz w:val="20"/>
        </w:rPr>
        <w:t xml:space="preserve">42.  </w:t>
      </w:r>
      <w:r>
        <w:rPr>
          <w:rFonts w:ascii="Arial-BoldMT" w:hAnsi="Arial-BoldMT" w:cs="Arial-BoldMT" w:eastAsia="Arial-BoldMT"/>
          <w:sz w:val="20"/>
        </w:rPr>
        <w:t>. Ashtariyan Kiyomars (2007)., Law &amp; Political science, 37(2), 1-24.</w:t>
        <w:br/>
        <w:br/>
      </w:r>
      <w:r>
        <w:rPr>
          <w:rFonts w:ascii="Arial-BoldMT" w:hAnsi="Arial-BoldMT" w:cs="Arial-BoldMT" w:eastAsia="Arial-BoldMT"/>
          <w:b w:val="true"/>
          <w:sz w:val="20"/>
        </w:rPr>
        <w:t xml:space="preserve">43.  </w:t>
      </w:r>
      <w:r>
        <w:rPr>
          <w:rFonts w:ascii="Arial-BoldMT" w:hAnsi="Arial-BoldMT" w:cs="Arial-BoldMT" w:eastAsia="Arial-BoldMT"/>
          <w:sz w:val="20"/>
        </w:rPr>
        <w:t>nvc. Ashtariyan Kiyomars (2007)., Iran Information and Communication Technology, 1(302), -.</w:t>
        <w:br/>
        <w:br/>
      </w:r>
      <w:r>
        <w:rPr>
          <w:rFonts w:ascii="Arial-BoldMT" w:hAnsi="Arial-BoldMT" w:cs="Arial-BoldMT" w:eastAsia="Arial-BoldMT"/>
          <w:b w:val="true"/>
          <w:sz w:val="20"/>
        </w:rPr>
        <w:t xml:space="preserve">44.  </w:t>
      </w:r>
      <w:r>
        <w:rPr>
          <w:rFonts w:ascii="Arial-BoldMT" w:hAnsi="Arial-BoldMT" w:cs="Arial-BoldMT" w:eastAsia="Arial-BoldMT"/>
          <w:sz w:val="20"/>
        </w:rPr>
        <w:t>.  محمد جواد محمدی, Ashtariyan Kiyomars,  نادر جعفری هفتخوانی (2007).</w:t>
        <w:br/>
        <w:br/>
      </w:r>
      <w:r>
        <w:rPr>
          <w:rFonts w:ascii="Arial-BoldMT" w:hAnsi="Arial-BoldMT" w:cs="Arial-BoldMT" w:eastAsia="Arial-BoldMT"/>
          <w:b w:val="true"/>
          <w:sz w:val="20"/>
        </w:rPr>
        <w:t xml:space="preserve">45.  </w:t>
      </w:r>
      <w:r>
        <w:rPr>
          <w:rFonts w:ascii="Arial-BoldMT" w:hAnsi="Arial-BoldMT" w:cs="Arial-BoldMT" w:eastAsia="Arial-BoldMT"/>
          <w:sz w:val="20"/>
        </w:rPr>
        <w:t>. Ashtariyan Kiyomars (2006)., Law &amp; Political science, 1(73), 35-60.</w:t>
        <w:br/>
        <w:br/>
      </w:r>
      <w:r>
        <w:rPr>
          <w:rFonts w:ascii="Arial-BoldMT" w:hAnsi="Arial-BoldMT" w:cs="Arial-BoldMT" w:eastAsia="Arial-BoldMT"/>
          <w:b w:val="true"/>
          <w:sz w:val="20"/>
        </w:rPr>
        <w:t xml:space="preserve">46.  </w:t>
      </w:r>
      <w:r>
        <w:rPr>
          <w:rFonts w:ascii="Arial-BoldMT" w:hAnsi="Arial-BoldMT" w:cs="Arial-BoldMT" w:eastAsia="Arial-BoldMT"/>
          <w:sz w:val="20"/>
        </w:rPr>
        <w:t>. Ashtariyan Kiyomars (2005).</w:t>
        <w:br/>
        <w:br/>
      </w:r>
      <w:r>
        <w:rPr>
          <w:rFonts w:ascii="Arial-BoldMT" w:hAnsi="Arial-BoldMT" w:cs="Arial-BoldMT" w:eastAsia="Arial-BoldMT"/>
          <w:b w:val="true"/>
          <w:sz w:val="20"/>
        </w:rPr>
        <w:t xml:space="preserve">47.  </w:t>
      </w:r>
      <w:r>
        <w:rPr>
          <w:rFonts w:ascii="Arial-BoldMT" w:hAnsi="Arial-BoldMT" w:cs="Arial-BoldMT" w:eastAsia="Arial-BoldMT"/>
          <w:sz w:val="20"/>
        </w:rPr>
        <w:t>. Ashtariyan Kiyomars (2004)., Law &amp; Political science, 65(65), 21-34.</w:t>
        <w:br/>
        <w:br/>
      </w:r>
      <w:r>
        <w:rPr>
          <w:rFonts w:ascii="Arial-BoldMT" w:hAnsi="Arial-BoldMT" w:cs="Arial-BoldMT" w:eastAsia="Arial-BoldMT"/>
          <w:b w:val="true"/>
          <w:sz w:val="20"/>
        </w:rPr>
        <w:t xml:space="preserve">48.  </w:t>
      </w:r>
      <w:r>
        <w:rPr>
          <w:rFonts w:ascii="Arial-BoldMT" w:hAnsi="Arial-BoldMT" w:cs="Arial-BoldMT" w:eastAsia="Arial-BoldMT"/>
          <w:sz w:val="20"/>
        </w:rPr>
        <w:t>. Ashtariyan Kiyomars (2004).</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public policy. Ganji Nader, Ashtariyan Kiyomars (2020).</w:t>
        <w:br/>
        <w:br/>
      </w:r>
      <w:r>
        <w:rPr>
          <w:rFonts w:ascii="Arial-BoldMT" w:hAnsi="Arial-BoldMT" w:cs="Arial-BoldMT" w:eastAsia="Arial-BoldMT"/>
          <w:b w:val="true"/>
          <w:sz w:val="20"/>
        </w:rPr>
        <w:t xml:space="preserve">2.  </w:t>
      </w:r>
      <w:r>
        <w:rPr>
          <w:rFonts w:ascii="Arial-BoldMT" w:hAnsi="Arial-BoldMT" w:cs="Arial-BoldMT" w:eastAsia="Arial-BoldMT"/>
          <w:sz w:val="20"/>
        </w:rPr>
        <w:t>public policy. Ashtariyan Kiyomars (2019).</w:t>
        <w:br/>
        <w:br/>
      </w:r>
      <w:r>
        <w:rPr>
          <w:rFonts w:ascii="Arial-BoldMT" w:hAnsi="Arial-BoldMT" w:cs="Arial-BoldMT" w:eastAsia="Arial-BoldMT"/>
          <w:b w:val="true"/>
          <w:sz w:val="20"/>
        </w:rPr>
        <w:t xml:space="preserve">3.  </w:t>
      </w:r>
      <w:r>
        <w:rPr>
          <w:rFonts w:ascii="Arial-BoldMT" w:hAnsi="Arial-BoldMT" w:cs="Arial-BoldMT" w:eastAsia="Arial-BoldMT"/>
          <w:sz w:val="20"/>
        </w:rPr>
        <w:t>Knowledge Management, Organization and Public Policy (Models, Strategies and Infrastructure). Ashtariyan Kiyomars (2018).</w:t>
        <w:br/>
        <w:br/>
      </w:r>
      <w:r>
        <w:rPr>
          <w:rFonts w:ascii="Arial-BoldMT" w:hAnsi="Arial-BoldMT" w:cs="Arial-BoldMT" w:eastAsia="Arial-BoldMT"/>
          <w:b w:val="true"/>
          <w:sz w:val="20"/>
        </w:rPr>
        <w:t xml:space="preserve">4.  </w:t>
      </w:r>
      <w:r>
        <w:rPr>
          <w:rFonts w:ascii="Arial-BoldMT" w:hAnsi="Arial-BoldMT" w:cs="Arial-BoldMT" w:eastAsia="Arial-BoldMT"/>
          <w:sz w:val="20"/>
        </w:rPr>
        <w:t>Political economy of science and technology In Iran. Ashtariyan Kiyomars (2018).</w:t>
        <w:br/>
        <w:br/>
      </w:r>
      <w:r>
        <w:rPr>
          <w:rFonts w:ascii="Arial-BoldMT" w:hAnsi="Arial-BoldMT" w:cs="Arial-BoldMT" w:eastAsia="Arial-BoldMT"/>
          <w:b w:val="true"/>
          <w:sz w:val="20"/>
        </w:rPr>
        <w:t xml:space="preserve">5.  </w:t>
      </w:r>
      <w:r>
        <w:rPr>
          <w:rFonts w:ascii="Arial-BoldMT" w:hAnsi="Arial-BoldMT" w:cs="Arial-BoldMT" w:eastAsia="Arial-BoldMT"/>
          <w:sz w:val="20"/>
        </w:rPr>
        <w:t>implementation policy. Ashtariyan Kiyomars (2018).</w:t>
        <w:br/>
        <w:br/>
      </w:r>
      <w:r>
        <w:rPr>
          <w:rFonts w:ascii="Arial-BoldMT" w:hAnsi="Arial-BoldMT" w:cs="Arial-BoldMT" w:eastAsia="Arial-BoldMT"/>
          <w:b w:val="true"/>
          <w:sz w:val="20"/>
        </w:rPr>
        <w:t xml:space="preserve">6.  </w:t>
      </w:r>
      <w:r>
        <w:rPr>
          <w:rFonts w:ascii="Arial-BoldMT" w:hAnsi="Arial-BoldMT" w:cs="Arial-BoldMT" w:eastAsia="Arial-BoldMT"/>
          <w:sz w:val="20"/>
        </w:rPr>
        <w:t>a. Ashtariyan Kiyomars (2017).</w:t>
        <w:br/>
        <w:br/>
      </w:r>
      <w:r>
        <w:rPr>
          <w:rFonts w:ascii="Arial-BoldMT" w:hAnsi="Arial-BoldMT" w:cs="Arial-BoldMT" w:eastAsia="Arial-BoldMT"/>
          <w:b w:val="true"/>
          <w:sz w:val="20"/>
        </w:rPr>
        <w:t xml:space="preserve">7.  </w:t>
      </w:r>
      <w:r>
        <w:rPr>
          <w:rFonts w:ascii="Arial-BoldMT" w:hAnsi="Arial-BoldMT" w:cs="Arial-BoldMT" w:eastAsia="Arial-BoldMT"/>
          <w:sz w:val="20"/>
        </w:rPr>
        <w:t>public policy in iran. Ashtariyan Kiyomars (2017).</w:t>
        <w:br/>
        <w:br/>
      </w:r>
      <w:r>
        <w:rPr>
          <w:rFonts w:ascii="Arial-BoldMT" w:hAnsi="Arial-BoldMT" w:cs="Arial-BoldMT" w:eastAsia="Arial-BoldMT"/>
          <w:b w:val="true"/>
          <w:sz w:val="20"/>
        </w:rPr>
        <w:t xml:space="preserve">8.  </w:t>
      </w:r>
      <w:r>
        <w:rPr>
          <w:rFonts w:ascii="Arial-BoldMT" w:hAnsi="Arial-BoldMT" w:cs="Arial-BoldMT" w:eastAsia="Arial-BoldMT"/>
          <w:sz w:val="20"/>
        </w:rPr>
        <w:t>fvdfvfg. Ashtariyan Kiyomars (2017).</w:t>
        <w:br/>
        <w:br/>
      </w:r>
      <w:r>
        <w:rPr>
          <w:rFonts w:ascii="Arial-BoldMT" w:hAnsi="Arial-BoldMT" w:cs="Arial-BoldMT" w:eastAsia="Arial-BoldMT"/>
          <w:b w:val="true"/>
          <w:sz w:val="20"/>
        </w:rPr>
        <w:t xml:space="preserve">9.  </w:t>
      </w:r>
      <w:r>
        <w:rPr>
          <w:rFonts w:ascii="Arial-BoldMT" w:hAnsi="Arial-BoldMT" w:cs="Arial-BoldMT" w:eastAsia="Arial-BoldMT"/>
          <w:sz w:val="20"/>
        </w:rPr>
        <w:t>xds. Ashtariyan Kiyomars (2013).</w:t>
        <w:br/>
        <w:br/>
      </w:r>
      <w:r>
        <w:rPr>
          <w:rFonts w:ascii="Arial-BoldMT" w:hAnsi="Arial-BoldMT" w:cs="Arial-BoldMT" w:eastAsia="Arial-BoldMT"/>
          <w:b w:val="true"/>
          <w:sz w:val="20"/>
        </w:rPr>
        <w:t xml:space="preserve">10.  </w:t>
      </w:r>
      <w:r>
        <w:rPr>
          <w:rFonts w:ascii="Arial-BoldMT" w:hAnsi="Arial-BoldMT" w:cs="Arial-BoldMT" w:eastAsia="Arial-BoldMT"/>
          <w:sz w:val="20"/>
        </w:rPr>
        <w:t>km 1. Ashtariyan Kiyomars (2013).</w:t>
        <w:br/>
        <w:br/>
      </w:r>
      <w:r>
        <w:rPr>
          <w:rFonts w:ascii="Arial-BoldMT" w:hAnsi="Arial-BoldMT" w:cs="Arial-BoldMT" w:eastAsia="Arial-BoldMT"/>
          <w:b w:val="true"/>
          <w:sz w:val="20"/>
        </w:rPr>
        <w:t xml:space="preserve">11.  </w:t>
      </w:r>
      <w:r>
        <w:rPr>
          <w:rFonts w:ascii="Arial-BoldMT" w:hAnsi="Arial-BoldMT" w:cs="Arial-BoldMT" w:eastAsia="Arial-BoldMT"/>
          <w:sz w:val="20"/>
        </w:rPr>
        <w:t>barname. Ashtariyan Kiyomars (2013).</w:t>
        <w:br/>
        <w:br/>
      </w:r>
      <w:r>
        <w:rPr>
          <w:rFonts w:ascii="Arial-BoldMT" w:hAnsi="Arial-BoldMT" w:cs="Arial-BoldMT" w:eastAsia="Arial-BoldMT"/>
          <w:b w:val="true"/>
          <w:sz w:val="20"/>
        </w:rPr>
        <w:t xml:space="preserve">12.  </w:t>
      </w:r>
      <w:r>
        <w:rPr>
          <w:rFonts w:ascii="Arial-BoldMT" w:hAnsi="Arial-BoldMT" w:cs="Arial-BoldMT" w:eastAsia="Arial-BoldMT"/>
          <w:sz w:val="20"/>
        </w:rPr>
        <w:t>xswr. Ashtariyan Kiyomars,  راضیه امامی میبدی (2013).</w:t>
        <w:br/>
        <w:br/>
      </w:r>
      <w:r>
        <w:rPr>
          <w:rFonts w:ascii="Arial-BoldMT" w:hAnsi="Arial-BoldMT" w:cs="Arial-BoldMT" w:eastAsia="Arial-BoldMT"/>
          <w:b w:val="true"/>
          <w:sz w:val="20"/>
        </w:rPr>
        <w:t xml:space="preserve">13.  </w:t>
      </w:r>
      <w:r>
        <w:rPr>
          <w:rFonts w:ascii="Arial-BoldMT" w:hAnsi="Arial-BoldMT" w:cs="Arial-BoldMT" w:eastAsia="Arial-BoldMT"/>
          <w:sz w:val="20"/>
        </w:rPr>
        <w:t>moghadameh. Ashtariyan Kiyomars (2012).</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3a. Ashtariyan Kiyomars (2022)., 3a, 8-9 March, Tehran, Iran.</w:t>
        <w:br/>
        <w:br/>
      </w:r>
      <w:r>
        <w:rPr>
          <w:rFonts w:ascii="Arial-BoldMT" w:hAnsi="Arial-BoldMT" w:cs="Arial-BoldMT" w:eastAsia="Arial-BoldMT"/>
          <w:b w:val="true"/>
          <w:sz w:val="20"/>
        </w:rPr>
        <w:t xml:space="preserve">2.  </w:t>
      </w:r>
      <w:r>
        <w:rPr>
          <w:rFonts w:ascii="Arial-BoldMT" w:hAnsi="Arial-BoldMT" w:cs="Arial-BoldMT" w:eastAsia="Arial-BoldMT"/>
          <w:sz w:val="20"/>
        </w:rPr>
        <w:t>2a. Ashtariyan Kiyomars (2021)., 2a, 4-5 March, Tehran, Iran.</w:t>
        <w:br/>
        <w:br/>
      </w:r>
      <w:r>
        <w:rPr>
          <w:rFonts w:ascii="Arial-BoldMT" w:hAnsi="Arial-BoldMT" w:cs="Arial-BoldMT" w:eastAsia="Arial-BoldMT"/>
          <w:b w:val="true"/>
          <w:sz w:val="20"/>
        </w:rPr>
        <w:t xml:space="preserve">3.  </w:t>
      </w:r>
      <w:r>
        <w:rPr>
          <w:rFonts w:ascii="Arial-BoldMT" w:hAnsi="Arial-BoldMT" w:cs="Arial-BoldMT" w:eastAsia="Arial-BoldMT"/>
          <w:sz w:val="20"/>
        </w:rPr>
        <w:t>4a. Ashtariyan Kiyomars (2021)., 4a, 4-5 February, Tehran, Iran.</w:t>
        <w:br/>
        <w:br/>
      </w:r>
      <w:r>
        <w:rPr>
          <w:rFonts w:ascii="Arial-BoldMT" w:hAnsi="Arial-BoldMT" w:cs="Arial-BoldMT" w:eastAsia="Arial-BoldMT"/>
          <w:b w:val="true"/>
          <w:sz w:val="20"/>
        </w:rPr>
        <w:t xml:space="preserve">4.  </w:t>
      </w:r>
      <w:r>
        <w:rPr>
          <w:rFonts w:ascii="Arial-BoldMT" w:hAnsi="Arial-BoldMT" w:cs="Arial-BoldMT" w:eastAsia="Arial-BoldMT"/>
          <w:sz w:val="20"/>
        </w:rPr>
        <w:t>8a. Ashtariyan Kiyomars (2020)., 8a, 14-15 January, Tehran, Iran.</w:t>
        <w:br/>
        <w:br/>
      </w:r>
      <w:r>
        <w:rPr>
          <w:rFonts w:ascii="Arial-BoldMT" w:hAnsi="Arial-BoldMT" w:cs="Arial-BoldMT" w:eastAsia="Arial-BoldMT"/>
          <w:b w:val="true"/>
          <w:sz w:val="20"/>
        </w:rPr>
        <w:t xml:space="preserve">5.  </w:t>
      </w:r>
      <w:r>
        <w:rPr>
          <w:rFonts w:ascii="Arial-BoldMT" w:hAnsi="Arial-BoldMT" w:cs="Arial-BoldMT" w:eastAsia="Arial-BoldMT"/>
          <w:sz w:val="20"/>
        </w:rPr>
        <w:t>1a. Ashtariyan Kiyomars (2019)., 1a, 12-14 December,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7a. Ashtariyan Kiyomars (2019)., 7a, 24-25 February, Tehran, Iran.</w:t>
        <w:br/>
        <w:br/>
      </w:r>
      <w:r>
        <w:rPr>
          <w:rFonts w:ascii="Arial-BoldMT" w:hAnsi="Arial-BoldMT" w:cs="Arial-BoldMT" w:eastAsia="Arial-BoldMT"/>
          <w:b w:val="true"/>
          <w:sz w:val="20"/>
        </w:rPr>
        <w:t xml:space="preserve">7.  </w:t>
      </w:r>
      <w:r>
        <w:rPr>
          <w:rFonts w:ascii="Arial-BoldMT" w:hAnsi="Arial-BoldMT" w:cs="Arial-BoldMT" w:eastAsia="Arial-BoldMT"/>
          <w:sz w:val="20"/>
        </w:rPr>
        <w:t>6a. Ashtariyan Kiyomars (2018)., 6a, 26-27 October, Tehran, Iran.</w:t>
        <w:br/>
        <w:br/>
      </w:r>
      <w:r>
        <w:rPr>
          <w:rFonts w:ascii="Arial-BoldMT" w:hAnsi="Arial-BoldMT" w:cs="Arial-BoldMT" w:eastAsia="Arial-BoldMT"/>
          <w:b w:val="true"/>
          <w:sz w:val="20"/>
        </w:rPr>
        <w:t xml:space="preserve">8.  </w:t>
      </w:r>
      <w:r>
        <w:rPr>
          <w:rFonts w:ascii="Arial-BoldMT" w:hAnsi="Arial-BoldMT" w:cs="Arial-BoldMT" w:eastAsia="Arial-BoldMT"/>
          <w:sz w:val="20"/>
        </w:rPr>
        <w:t>Implementation Research in Public Policy. Ashtariyan Kiyomars, Keshvardoost Jobaneh Samaneh, Haji Ahmadi Fatemeh (2013)., 2014ISIS-Miami Beach International Multidisciplinary Academic Conference, 28 November, Miami, United States.</w:t>
        <w:br/>
        <w:br/>
      </w:r>
      <w:r>
        <w:rPr>
          <w:rFonts w:ascii="Arial-BoldMT" w:hAnsi="Arial-BoldMT" w:cs="Arial-BoldMT" w:eastAsia="Arial-BoldMT"/>
          <w:b w:val="true"/>
          <w:sz w:val="20"/>
        </w:rPr>
        <w:t xml:space="preserve">9.  </w:t>
      </w:r>
      <w:r>
        <w:rPr>
          <w:rFonts w:ascii="Arial-BoldMT" w:hAnsi="Arial-BoldMT" w:cs="Arial-BoldMT" w:eastAsia="Arial-BoldMT"/>
          <w:sz w:val="20"/>
        </w:rPr>
        <w:t>5a. Ashtariyan Kiyomars (2011)., 5a, 26-27 December,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international. Ashtariyan Kiyomars (2006)., iran, 21 March, Tehran, Iran.</w:t>
        <w:br/>
        <w:br/>
      </w:r>
      <w:r>
        <w:rPr>
          <w:rFonts w:ascii="Arial-BoldMT" w:hAnsi="Arial-BoldMT" w:cs="Arial-BoldMT" w:eastAsia="Arial-BoldMT"/>
          <w:b w:val="true"/>
          <w:sz w:val="20"/>
        </w:rPr>
        <w:t xml:space="preserve">11.  </w:t>
      </w:r>
      <w:r>
        <w:rPr>
          <w:rFonts w:ascii="Arial-BoldMT" w:hAnsi="Arial-BoldMT" w:cs="Arial-BoldMT" w:eastAsia="Arial-BoldMT"/>
          <w:sz w:val="20"/>
        </w:rPr>
        <w:t>international. Ashtariyan Kiyomars (2007)., iran, 23 September-20 February,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S</w:t>
        <w:br/>
      </w:r>
      <w:r>
        <w:rPr>
          <w:rFonts w:ascii="ArialMT" w:hAnsi="ArialMT" w:cs="ArialMT" w:eastAsia="ArialMT"/>
          <w:sz w:val="20"/>
        </w:rPr>
        <w:t xml:space="preserve">  2015, Tehran, Iran</w:t>
        <w:br/>
        <w:br/>
      </w:r>
      <w:r>
        <w:rPr>
          <w:rFonts w:ascii="Arial-BoldMT" w:hAnsi="Arial-BoldMT" w:cs="Arial-BoldMT" w:eastAsia="Arial-BoldMT"/>
          <w:b w:val="true"/>
          <w:sz w:val="20"/>
        </w:rPr>
        <w:t>PUBLIC POLICY:</w:t>
        <w:br/>
      </w:r>
      <w:r>
        <w:rPr>
          <w:rFonts w:ascii="ArialMT" w:hAnsi="ArialMT" w:cs="ArialMT" w:eastAsia="ArialMT"/>
          <w:sz w:val="20"/>
        </w:rPr>
        <w:t xml:space="preserve">  2015,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Application of public policy -Making in Islamic Republic of Iran</w:t>
        <w:br/>
        <w:br/>
      </w:r>
      <w:r>
        <w:rPr>
          <w:rFonts w:ascii="Arial-BoldMT" w:hAnsi="Arial-BoldMT" w:cs="Arial-BoldMT" w:eastAsia="Arial-BoldMT"/>
          <w:b w:val="true"/>
          <w:sz w:val="20"/>
        </w:rPr>
        <w:t>Constitutional Law of the Islamic Republic of Iran</w:t>
        <w:br/>
        <w:br/>
      </w:r>
      <w:r>
        <w:rPr>
          <w:rFonts w:ascii="Arial-BoldMT" w:hAnsi="Arial-BoldMT" w:cs="Arial-BoldMT" w:eastAsia="Arial-BoldMT"/>
          <w:b w:val="true"/>
          <w:sz w:val="20"/>
        </w:rPr>
        <w:t>Methodology in Political Science</w:t>
        <w:br/>
        <w:br/>
      </w:r>
      <w:r>
        <w:rPr>
          <w:rFonts w:ascii="Arial-BoldMT" w:hAnsi="Arial-BoldMT" w:cs="Arial-BoldMT" w:eastAsia="Arial-BoldMT"/>
          <w:b w:val="true"/>
          <w:sz w:val="20"/>
        </w:rPr>
        <w:t>New Techniques for Political Analysis</w:t>
        <w:br/>
        <w:br/>
      </w:r>
      <w:r>
        <w:rPr>
          <w:rFonts w:ascii="Arial-BoldMT" w:hAnsi="Arial-BoldMT" w:cs="Arial-BoldMT" w:eastAsia="Arial-BoldMT"/>
          <w:b w:val="true"/>
          <w:sz w:val="20"/>
        </w:rPr>
        <w:t>Specialized Political Texts in English Language 2</w:t>
        <w:br/>
        <w:br/>
      </w:r>
      <w:r>
        <w:rPr>
          <w:rFonts w:ascii="Arial-BoldMT" w:hAnsi="Arial-BoldMT" w:cs="Arial-BoldMT" w:eastAsia="Arial-BoldMT"/>
          <w:b w:val="true"/>
          <w:sz w:val="20"/>
        </w:rPr>
        <w:t>Electronic Government</w:t>
        <w:br/>
        <w:br/>
      </w:r>
      <w:r>
        <w:rPr>
          <w:rFonts w:ascii="Arial-BoldMT" w:hAnsi="Arial-BoldMT" w:cs="Arial-BoldMT" w:eastAsia="Arial-BoldMT"/>
          <w:b w:val="true"/>
          <w:sz w:val="20"/>
        </w:rPr>
        <w:t>General Planning</w:t>
        <w:br/>
        <w:br/>
      </w:r>
      <w:r>
        <w:rPr>
          <w:rFonts w:ascii="Arial-BoldMT" w:hAnsi="Arial-BoldMT" w:cs="Arial-BoldMT" w:eastAsia="Arial-BoldMT"/>
          <w:b w:val="true"/>
          <w:sz w:val="20"/>
        </w:rPr>
        <w:t>Methods in public policy</w:t>
        <w:br/>
        <w:br/>
      </w:r>
      <w:r>
        <w:rPr>
          <w:rFonts w:ascii="Arial-BoldMT" w:hAnsi="Arial-BoldMT" w:cs="Arial-BoldMT" w:eastAsia="Arial-BoldMT"/>
          <w:b w:val="true"/>
          <w:sz w:val="20"/>
        </w:rPr>
        <w:t>New Techniques for Political Analysis</w:t>
        <w:br/>
        <w:br/>
      </w:r>
      <w:r>
        <w:rPr>
          <w:rFonts w:ascii="Arial-BoldMT" w:hAnsi="Arial-BoldMT" w:cs="Arial-BoldMT" w:eastAsia="Arial-BoldMT"/>
          <w:b w:val="true"/>
          <w:sz w:val="20"/>
        </w:rPr>
        <w:t>Political Science Research Methods 1</w:t>
        <w:br/>
        <w:br/>
      </w:r>
      <w:r>
        <w:rPr>
          <w:rFonts w:ascii="Arial-BoldMT" w:hAnsi="Arial-BoldMT" w:cs="Arial-BoldMT" w:eastAsia="Arial-BoldMT"/>
          <w:b w:val="true"/>
          <w:sz w:val="20"/>
        </w:rPr>
        <w:t>Application of public policy -Making in Islamic Republic of Iran</w:t>
        <w:br/>
        <w:br/>
      </w:r>
      <w:r>
        <w:rPr>
          <w:rFonts w:ascii="Arial-BoldMT" w:hAnsi="Arial-BoldMT" w:cs="Arial-BoldMT" w:eastAsia="Arial-BoldMT"/>
          <w:b w:val="true"/>
          <w:sz w:val="20"/>
        </w:rPr>
        <w:t>Administrative Law of Iran</w:t>
        <w:br/>
        <w:br/>
      </w:r>
      <w:r>
        <w:rPr>
          <w:rFonts w:ascii="Arial-BoldMT" w:hAnsi="Arial-BoldMT" w:cs="Arial-BoldMT" w:eastAsia="Arial-BoldMT"/>
          <w:b w:val="true"/>
          <w:sz w:val="20"/>
        </w:rPr>
        <w:t>General Planning</w:t>
        <w:br/>
        <w:br/>
      </w:r>
      <w:r>
        <w:rPr>
          <w:rFonts w:ascii="Arial-BoldMT" w:hAnsi="Arial-BoldMT" w:cs="Arial-BoldMT" w:eastAsia="Arial-BoldMT"/>
          <w:b w:val="true"/>
          <w:sz w:val="20"/>
        </w:rPr>
        <w:t>Methods in public policy</w:t>
        <w:br/>
        <w:br/>
      </w:r>
      <w:r>
        <w:rPr>
          <w:rFonts w:ascii="Arial-BoldMT" w:hAnsi="Arial-BoldMT" w:cs="Arial-BoldMT" w:eastAsia="Arial-BoldMT"/>
          <w:b w:val="true"/>
          <w:sz w:val="20"/>
        </w:rPr>
        <w:t>New Techniques for Political Analysis</w:t>
        <w:br/>
        <w:br/>
      </w:r>
      <w:r>
        <w:rPr>
          <w:rFonts w:ascii="Arial-BoldMT" w:hAnsi="Arial-BoldMT" w:cs="Arial-BoldMT" w:eastAsia="Arial-BoldMT"/>
          <w:b w:val="true"/>
          <w:sz w:val="20"/>
        </w:rPr>
        <w:t>Process and structure of public policy in Iran</w:t>
        <w:br/>
        <w:br/>
      </w:r>
      <w:r>
        <w:rPr>
          <w:rFonts w:ascii="Arial-BoldMT" w:hAnsi="Arial-BoldMT" w:cs="Arial-BoldMT" w:eastAsia="Arial-BoldMT"/>
          <w:b w:val="true"/>
          <w:sz w:val="20"/>
        </w:rPr>
        <w:t>Specialized Political Texts in English Language 1</w:t>
        <w:br/>
        <w:br/>
      </w:r>
      <w:r>
        <w:rPr>
          <w:rFonts w:ascii="Arial-BoldMT" w:hAnsi="Arial-BoldMT" w:cs="Arial-BoldMT" w:eastAsia="Arial-BoldMT"/>
          <w:b w:val="true"/>
          <w:sz w:val="20"/>
        </w:rPr>
        <w:t>Application of public policy -Making in Islamic Republic of Iran</w:t>
        <w:br/>
        <w:br/>
      </w:r>
      <w:r>
        <w:rPr>
          <w:rFonts w:ascii="Arial-BoldMT" w:hAnsi="Arial-BoldMT" w:cs="Arial-BoldMT" w:eastAsia="Arial-BoldMT"/>
          <w:b w:val="true"/>
          <w:sz w:val="20"/>
        </w:rPr>
        <w:t>Introduction to Public Policy</w:t>
        <w:br/>
        <w:br/>
      </w:r>
      <w:r>
        <w:rPr>
          <w:rFonts w:ascii="Arial-BoldMT" w:hAnsi="Arial-BoldMT" w:cs="Arial-BoldMT" w:eastAsia="Arial-BoldMT"/>
          <w:b w:val="true"/>
          <w:sz w:val="20"/>
        </w:rPr>
        <w:t>Seminar on: The Third World Countries Issues</w:t>
        <w:br/>
        <w:br/>
      </w:r>
      <w:r>
        <w:rPr>
          <w:rFonts w:ascii="Arial-BoldMT" w:hAnsi="Arial-BoldMT" w:cs="Arial-BoldMT" w:eastAsia="Arial-BoldMT"/>
          <w:b w:val="true"/>
          <w:sz w:val="20"/>
        </w:rPr>
        <w:t>Specialized Political Texts in English Language 2</w:t>
        <w:br/>
        <w:br/>
      </w:r>
      <w:r>
        <w:rPr>
          <w:rFonts w:ascii="Arial-BoldMT" w:hAnsi="Arial-BoldMT" w:cs="Arial-BoldMT" w:eastAsia="Arial-BoldMT"/>
          <w:b w:val="true"/>
          <w:sz w:val="20"/>
        </w:rPr>
        <w:t>Administrative Law of Iran</w:t>
        <w:br/>
        <w:br/>
      </w:r>
      <w:r>
        <w:rPr>
          <w:rFonts w:ascii="Arial-BoldMT" w:hAnsi="Arial-BoldMT" w:cs="Arial-BoldMT" w:eastAsia="Arial-BoldMT"/>
          <w:b w:val="true"/>
          <w:sz w:val="20"/>
        </w:rPr>
        <w:t>Basic Laws</w:t>
        <w:br/>
        <w:br/>
      </w:r>
      <w:r>
        <w:rPr>
          <w:rFonts w:ascii="Arial-BoldMT" w:hAnsi="Arial-BoldMT" w:cs="Arial-BoldMT" w:eastAsia="Arial-BoldMT"/>
          <w:b w:val="true"/>
          <w:sz w:val="20"/>
        </w:rPr>
        <w:t>Methods in public policy</w:t>
        <w:br/>
        <w:br/>
      </w:r>
      <w:r>
        <w:rPr>
          <w:rFonts w:ascii="Arial-BoldMT" w:hAnsi="Arial-BoldMT" w:cs="Arial-BoldMT" w:eastAsia="Arial-BoldMT"/>
          <w:b w:val="true"/>
          <w:sz w:val="20"/>
        </w:rPr>
        <w:t>Process and structure of public policy in Iran</w:t>
        <w:br/>
        <w:br/>
      </w:r>
      <w:r>
        <w:rPr>
          <w:rFonts w:ascii="Arial-BoldMT" w:hAnsi="Arial-BoldMT" w:cs="Arial-BoldMT" w:eastAsia="Arial-BoldMT"/>
          <w:b w:val="true"/>
          <w:sz w:val="20"/>
        </w:rPr>
        <w:t>Specialized Political Texts in English Language 1</w:t>
        <w:br/>
        <w:br/>
      </w:r>
      <w:r>
        <w:rPr>
          <w:rFonts w:ascii="Arial-BoldMT" w:hAnsi="Arial-BoldMT" w:cs="Arial-BoldMT" w:eastAsia="Arial-BoldMT"/>
          <w:b w:val="true"/>
          <w:sz w:val="20"/>
        </w:rPr>
        <w:t>General Planning</w:t>
        <w:br/>
        <w:br/>
      </w:r>
      <w:r>
        <w:rPr>
          <w:rFonts w:ascii="Arial-BoldMT" w:hAnsi="Arial-BoldMT" w:cs="Arial-BoldMT" w:eastAsia="Arial-BoldMT"/>
          <w:b w:val="true"/>
          <w:sz w:val="20"/>
        </w:rPr>
        <w:t>Methods in public policy</w:t>
        <w:br/>
        <w:br/>
      </w:r>
      <w:r>
        <w:rPr>
          <w:rFonts w:ascii="Arial-BoldMT" w:hAnsi="Arial-BoldMT" w:cs="Arial-BoldMT" w:eastAsia="Arial-BoldMT"/>
          <w:b w:val="true"/>
          <w:sz w:val="20"/>
        </w:rPr>
        <w:t>Political Science Research Methods 1</w:t>
        <w:br/>
        <w:br/>
      </w:r>
      <w:r>
        <w:rPr>
          <w:rFonts w:ascii="Arial-BoldMT" w:hAnsi="Arial-BoldMT" w:cs="Arial-BoldMT" w:eastAsia="Arial-BoldMT"/>
          <w:b w:val="true"/>
          <w:sz w:val="20"/>
        </w:rPr>
        <w:t>Process and structure of public policy in Iran</w:t>
        <w:br/>
        <w:br/>
      </w:r>
      <w:r>
        <w:rPr>
          <w:rFonts w:ascii="Arial-BoldMT" w:hAnsi="Arial-BoldMT" w:cs="Arial-BoldMT" w:eastAsia="Arial-BoldMT"/>
          <w:b w:val="true"/>
          <w:sz w:val="20"/>
        </w:rPr>
        <w:t>Application of public policy -Making in Islamic Republic of Iran</w:t>
        <w:br/>
        <w:br/>
      </w:r>
      <w:r>
        <w:rPr>
          <w:rFonts w:ascii="Arial-BoldMT" w:hAnsi="Arial-BoldMT" w:cs="Arial-BoldMT" w:eastAsia="Arial-BoldMT"/>
          <w:b w:val="true"/>
          <w:sz w:val="20"/>
        </w:rPr>
        <w:t>Introduction to Public Policy</w:t>
        <w:br/>
        <w:br/>
      </w:r>
      <w:r>
        <w:rPr>
          <w:rFonts w:ascii="Arial-BoldMT" w:hAnsi="Arial-BoldMT" w:cs="Arial-BoldMT" w:eastAsia="Arial-BoldMT"/>
          <w:b w:val="true"/>
          <w:sz w:val="20"/>
        </w:rPr>
        <w:t>Introduction to Public Policy</w:t>
        <w:br/>
        <w:br/>
      </w:r>
      <w:r>
        <w:rPr>
          <w:rFonts w:ascii="Arial-BoldMT" w:hAnsi="Arial-BoldMT" w:cs="Arial-BoldMT" w:eastAsia="Arial-BoldMT"/>
          <w:b w:val="true"/>
          <w:sz w:val="20"/>
        </w:rPr>
        <w:t>Process and structure of public policy in Iran</w:t>
        <w:br/>
        <w:br/>
      </w:r>
      <w:r>
        <w:rPr>
          <w:rFonts w:ascii="Arial-BoldMT" w:hAnsi="Arial-BoldMT" w:cs="Arial-BoldMT" w:eastAsia="Arial-BoldMT"/>
          <w:b w:val="true"/>
          <w:sz w:val="20"/>
        </w:rPr>
        <w:t>Administrative Law of Iran</w:t>
        <w:br/>
        <w:br/>
      </w:r>
      <w:r>
        <w:rPr>
          <w:rFonts w:ascii="Arial-BoldMT" w:hAnsi="Arial-BoldMT" w:cs="Arial-BoldMT" w:eastAsia="Arial-BoldMT"/>
          <w:b w:val="true"/>
          <w:sz w:val="20"/>
        </w:rPr>
        <w:t>Final Project</w:t>
        <w:br/>
        <w:br/>
      </w:r>
      <w:r>
        <w:rPr>
          <w:rFonts w:ascii="Arial-BoldMT" w:hAnsi="Arial-BoldMT" w:cs="Arial-BoldMT" w:eastAsia="Arial-BoldMT"/>
          <w:b w:val="true"/>
          <w:sz w:val="20"/>
        </w:rPr>
        <w:t>Constitutional Law of the Islamic Republic</w:t>
        <w:br/>
        <w:br/>
      </w:r>
      <w:r>
        <w:rPr>
          <w:rFonts w:ascii="Arial-BoldMT" w:hAnsi="Arial-BoldMT" w:cs="Arial-BoldMT" w:eastAsia="Arial-BoldMT"/>
          <w:b w:val="true"/>
          <w:sz w:val="20"/>
        </w:rPr>
        <w:t>Constitutional Law of the Islamic Republic of Iran</w:t>
        <w:br/>
        <w:br/>
      </w:r>
      <w:r>
        <w:rPr>
          <w:rFonts w:ascii="Arial-BoldMT" w:hAnsi="Arial-BoldMT" w:cs="Arial-BoldMT" w:eastAsia="Arial-BoldMT"/>
          <w:b w:val="true"/>
          <w:sz w:val="20"/>
        </w:rPr>
        <w:t>Methods in Political Science</w:t>
        <w:br/>
        <w:br/>
      </w:r>
      <w:r>
        <w:rPr>
          <w:rFonts w:ascii="Arial-BoldMT" w:hAnsi="Arial-BoldMT" w:cs="Arial-BoldMT" w:eastAsia="Arial-BoldMT"/>
          <w:b w:val="true"/>
          <w:sz w:val="20"/>
        </w:rPr>
        <w:t>Administrative Law of Iran</w:t>
        <w:br/>
        <w:br/>
      </w:r>
      <w:r>
        <w:rPr>
          <w:rFonts w:ascii="Arial-BoldMT" w:hAnsi="Arial-BoldMT" w:cs="Arial-BoldMT" w:eastAsia="Arial-BoldMT"/>
          <w:b w:val="true"/>
          <w:sz w:val="20"/>
        </w:rPr>
        <w:t>Electronic Government</w:t>
        <w:br/>
        <w:br/>
      </w:r>
      <w:r>
        <w:rPr>
          <w:rFonts w:ascii="Arial-BoldMT" w:hAnsi="Arial-BoldMT" w:cs="Arial-BoldMT" w:eastAsia="Arial-BoldMT"/>
          <w:b w:val="true"/>
          <w:sz w:val="20"/>
        </w:rPr>
        <w:t>Methodology in Political Science</w:t>
        <w:br/>
        <w:br/>
      </w:r>
      <w:r>
        <w:rPr>
          <w:rFonts w:ascii="Arial-BoldMT" w:hAnsi="Arial-BoldMT" w:cs="Arial-BoldMT" w:eastAsia="Arial-BoldMT"/>
          <w:b w:val="true"/>
          <w:sz w:val="20"/>
        </w:rPr>
        <w:t>Statistics for the Social Sciences</w:t>
        <w:br/>
        <w:br/>
      </w:r>
      <w:r>
        <w:rPr>
          <w:rFonts w:ascii="Arial-BoldMT" w:hAnsi="Arial-BoldMT" w:cs="Arial-BoldMT" w:eastAsia="Arial-BoldMT"/>
          <w:b w:val="true"/>
          <w:sz w:val="20"/>
        </w:rPr>
        <w:t>Basic Laws</w:t>
        <w:br/>
        <w:br/>
      </w:r>
      <w:r>
        <w:rPr>
          <w:rFonts w:ascii="Arial-BoldMT" w:hAnsi="Arial-BoldMT" w:cs="Arial-BoldMT" w:eastAsia="Arial-BoldMT"/>
          <w:b w:val="true"/>
          <w:sz w:val="20"/>
        </w:rPr>
        <w:t>New Techniques for Political Analysis</w:t>
        <w:br/>
        <w:br/>
      </w:r>
      <w:r>
        <w:rPr>
          <w:rFonts w:ascii="Arial-BoldMT" w:hAnsi="Arial-BoldMT" w:cs="Arial-BoldMT" w:eastAsia="Arial-BoldMT"/>
          <w:b w:val="true"/>
          <w:sz w:val="20"/>
        </w:rPr>
        <w:t>Electronic Government</w:t>
        <w:br/>
        <w:br/>
      </w:r>
      <w:r>
        <w:rPr>
          <w:rFonts w:ascii="Arial-BoldMT" w:hAnsi="Arial-BoldMT" w:cs="Arial-BoldMT" w:eastAsia="Arial-BoldMT"/>
          <w:b w:val="true"/>
          <w:sz w:val="20"/>
        </w:rPr>
        <w:t>Electronic Government</w:t>
        <w:br/>
        <w:br/>
      </w:r>
      <w:r>
        <w:rPr>
          <w:rFonts w:ascii="Arial-BoldMT" w:hAnsi="Arial-BoldMT" w:cs="Arial-BoldMT" w:eastAsia="Arial-BoldMT"/>
          <w:b w:val="true"/>
          <w:sz w:val="20"/>
        </w:rPr>
        <w:t>Methodology in Political Science</w:t>
        <w:br/>
        <w:br/>
      </w:r>
      <w:r>
        <w:rPr>
          <w:rFonts w:ascii="Arial-BoldMT" w:hAnsi="Arial-BoldMT" w:cs="Arial-BoldMT" w:eastAsia="Arial-BoldMT"/>
          <w:b w:val="true"/>
          <w:sz w:val="20"/>
        </w:rPr>
        <w:t>Research Methods in Political Science</w:t>
        <w:br/>
        <w:br/>
      </w:r>
      <w:r>
        <w:rPr>
          <w:rFonts w:ascii="Arial-BoldMT" w:hAnsi="Arial-BoldMT" w:cs="Arial-BoldMT" w:eastAsia="Arial-BoldMT"/>
          <w:b w:val="true"/>
          <w:sz w:val="20"/>
        </w:rPr>
        <w:t>Methods of Study and Computer Use in Research</w:t>
        <w:br/>
        <w:br/>
      </w:r>
      <w:r>
        <w:rPr>
          <w:rFonts w:ascii="Arial-BoldMT" w:hAnsi="Arial-BoldMT" w:cs="Arial-BoldMT" w:eastAsia="Arial-BoldMT"/>
          <w:b w:val="true"/>
          <w:sz w:val="20"/>
        </w:rPr>
        <w:t>New Techniques for Political Analysis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Kiyomars Ashtariyan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