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Seyed Mohsen Habibi</w:t>
      </w:r>
      <w:r w:rsidR="004F4CD2">
        <w:t xml:space="preserve">, </w:t>
      </w:r>
      <w:r w:rsidR="00D9469D">
        <w:t>B.A</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Urban Development</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smhabibi@ut.ac.ir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B.A In Architecture</w:t>
        <w:br/>
      </w:r>
      <w:r>
        <w:rPr>
          <w:rFonts w:ascii="ArialMT" w:hAnsi="ArialMT" w:cs="ArialMT" w:eastAsia="ArialMT"/>
          <w:sz w:val="20"/>
        </w:rPr>
        <w:t>University Of Tehran</w:t>
      </w:r>
      <w:r>
        <w:tab/>
        <w:tab/>
        <w:t>null-yesr-char-null-yesr-char</w:t>
        <w:br/>
      </w:r>
      <w:r>
        <w:rPr>
          <w:rFonts w:ascii="Arial-BoldMT" w:hAnsi="Arial-BoldMT" w:cs="Arial-BoldMT" w:eastAsia="Arial-BoldMT"/>
          <w:b w:val="true"/>
          <w:sz w:val="20"/>
        </w:rPr>
        <w:t>B.A In Urban</w:t>
        <w:br/>
      </w:r>
      <w:r>
        <w:rPr>
          <w:rFonts w:ascii="ArialMT" w:hAnsi="ArialMT" w:cs="ArialMT" w:eastAsia="ArialMT"/>
          <w:sz w:val="20"/>
        </w:rPr>
        <w:t>University Of Tehran</w:t>
      </w:r>
      <w:r>
        <w:tab/>
        <w:tab/>
        <w:t>null-yesr-char-null-yesr-char</w:t>
        <w:br/>
      </w:r>
      <w:r>
        <w:rPr>
          <w:rFonts w:ascii="Arial-BoldMT" w:hAnsi="Arial-BoldMT" w:cs="Arial-BoldMT" w:eastAsia="Arial-BoldMT"/>
          <w:b w:val="true"/>
          <w:sz w:val="20"/>
        </w:rPr>
        <w:t>B.Sc In Urban</w:t>
        <w:br/>
      </w:r>
      <w:r>
        <w:rPr>
          <w:rFonts w:ascii="ArialMT" w:hAnsi="ArialMT" w:cs="ArialMT" w:eastAsia="ArialMT"/>
          <w:sz w:val="20"/>
        </w:rPr>
        <w:t>Paris</w:t>
      </w:r>
      <w:r>
        <w:tab/>
        <w:tab/>
        <w:t>null-yesr-char-null-yesr-char</w:t>
        <w:br/>
      </w:r>
      <w:r>
        <w:rPr>
          <w:rFonts w:ascii="Arial-BoldMT" w:hAnsi="Arial-BoldMT" w:cs="Arial-BoldMT" w:eastAsia="Arial-BoldMT"/>
          <w:b w:val="true"/>
          <w:sz w:val="20"/>
        </w:rPr>
        <w:t>Ph.D In Urban</w:t>
        <w:br/>
      </w:r>
      <w:r>
        <w:rPr>
          <w:rFonts w:ascii="ArialMT" w:hAnsi="ArialMT" w:cs="ArialMT" w:eastAsia="ArialMT"/>
          <w:sz w:val="20"/>
        </w:rPr>
        <w:t>Paris</w:t>
      </w:r>
      <w:r>
        <w:tab/>
        <w:tab/>
        <w:t>1977-1981</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23</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Hieroglyphic Reading of the Modern Tehran Metropolis through Mindscape Constructing Factors, the Case of Tehran Shuttle Taxi Drivers. Rashid Pour Nazila, Habibi Seyed Mohsen, Tabibian Manouchehr (2023)., soffeh, 33(1).</w:t>
        <w:br/>
        <w:br/>
      </w:r>
      <w:r>
        <w:rPr>
          <w:rFonts w:ascii="Arial-BoldMT" w:hAnsi="Arial-BoldMT" w:cs="Arial-BoldMT" w:eastAsia="Arial-BoldMT"/>
          <w:b w:val="true"/>
          <w:sz w:val="20"/>
        </w:rPr>
        <w:t xml:space="preserve">2.  </w:t>
      </w:r>
      <w:r>
        <w:rPr>
          <w:rFonts w:ascii="Arial-BoldMT" w:hAnsi="Arial-BoldMT" w:cs="Arial-BoldMT" w:eastAsia="Arial-BoldMT"/>
          <w:sz w:val="20"/>
        </w:rPr>
        <w:t>Clarification of the hidden language of the modern metropolis of Tehran by analyzing the selected Iranian movies in 2016. Rashid Pour Nazila, Habibi Seyed Mohsen, Tabibian Manouchehr (2022)., Motaleate Shahri, 11(43).</w:t>
        <w:br/>
        <w:br/>
      </w:r>
      <w:r>
        <w:rPr>
          <w:rFonts w:ascii="Arial-BoldMT" w:hAnsi="Arial-BoldMT" w:cs="Arial-BoldMT" w:eastAsia="Arial-BoldMT"/>
          <w:b w:val="true"/>
          <w:sz w:val="20"/>
        </w:rPr>
        <w:t xml:space="preserve">3.  </w:t>
      </w:r>
      <w:r>
        <w:rPr>
          <w:rFonts w:ascii="Arial-BoldMT" w:hAnsi="Arial-BoldMT" w:cs="Arial-BoldMT" w:eastAsia="Arial-BoldMT"/>
          <w:sz w:val="20"/>
        </w:rPr>
        <w:t>Investigation of the Concept of Spatial-Physical Resilience in relation to Earthquake, through Introducing and Prioritizing Its Most Significant Criteria by Using Fuzzy-AHP Model (case study: The central texture of the city of Rasht). Delshad Mahdiyeh, Tabibian Manouchehr, Habibi Seyed Mohsen (2021)., Armanshahr Architecture &amp; Urban Development Journal, 14(36).</w:t>
        <w:br/>
        <w:br/>
      </w:r>
      <w:r>
        <w:rPr>
          <w:rFonts w:ascii="Arial-BoldMT" w:hAnsi="Arial-BoldMT" w:cs="Arial-BoldMT" w:eastAsia="Arial-BoldMT"/>
          <w:b w:val="true"/>
          <w:sz w:val="20"/>
        </w:rPr>
        <w:t xml:space="preserve">4.  </w:t>
      </w:r>
      <w:r>
        <w:rPr>
          <w:rFonts w:ascii="Arial-BoldMT" w:hAnsi="Arial-BoldMT" w:cs="Arial-BoldMT" w:eastAsia="Arial-BoldMT"/>
          <w:sz w:val="20"/>
        </w:rPr>
        <w:t>Investigating the Role of Historic Buildings in Sustainable Regeneration and Upgrading the Urban Identity (Case Study: Rasht Historical City Square). Berenji Seyedeh Kahroba, Habibi Seyed Mohsen, Tabibian Manouchehr, Bahreini Hosein (2020)., Geography (Regional Planning), 10(4).</w:t>
        <w:br/>
        <w:br/>
      </w:r>
      <w:r>
        <w:rPr>
          <w:rFonts w:ascii="Arial-BoldMT" w:hAnsi="Arial-BoldMT" w:cs="Arial-BoldMT" w:eastAsia="Arial-BoldMT"/>
          <w:b w:val="true"/>
          <w:sz w:val="20"/>
        </w:rPr>
        <w:t xml:space="preserve">5.  </w:t>
      </w:r>
      <w:r>
        <w:rPr>
          <w:rFonts w:ascii="Arial-BoldMT" w:hAnsi="Arial-BoldMT" w:cs="Arial-BoldMT" w:eastAsia="Arial-BoldMT"/>
          <w:sz w:val="20"/>
        </w:rPr>
        <w:t>Space Flows and Places, from Interaction to Interaction: Analyzing the Impact of New Technologies on Urban Space Features. Habibi Seyed Mohsen, Ameli Ranani Saeid Reza, Ashatri Delaram (2019)., Urban Planning Knowledge, 3(1).</w:t>
        <w:br/>
        <w:br/>
      </w:r>
      <w:r>
        <w:rPr>
          <w:rFonts w:ascii="Arial-BoldMT" w:hAnsi="Arial-BoldMT" w:cs="Arial-BoldMT" w:eastAsia="Arial-BoldMT"/>
          <w:b w:val="true"/>
          <w:sz w:val="20"/>
        </w:rPr>
        <w:t xml:space="preserve">6.  </w:t>
      </w:r>
      <w:r>
        <w:rPr>
          <w:rFonts w:ascii="Arial-BoldMT" w:hAnsi="Arial-BoldMT" w:cs="Arial-BoldMT" w:eastAsia="Arial-BoldMT"/>
          <w:sz w:val="20"/>
        </w:rPr>
        <w:t>The Role of Urban Structure in Resiliency Against Earthquake. Nabavi Razavi Hale Sadat, Habibi Seyed Mohsen, Tabibian Manouchehr (2018)., Hoviate shahr, 12(3), 29-38.</w:t>
        <w:br/>
        <w:br/>
      </w:r>
      <w:r>
        <w:rPr>
          <w:rFonts w:ascii="Arial-BoldMT" w:hAnsi="Arial-BoldMT" w:cs="Arial-BoldMT" w:eastAsia="Arial-BoldMT"/>
          <w:b w:val="true"/>
          <w:sz w:val="20"/>
        </w:rPr>
        <w:t xml:space="preserve">7.  </w:t>
      </w:r>
      <w:r>
        <w:rPr>
          <w:rFonts w:ascii="Arial-BoldMT" w:hAnsi="Arial-BoldMT" w:cs="Arial-BoldMT" w:eastAsia="Arial-BoldMT"/>
          <w:sz w:val="20"/>
        </w:rPr>
        <w:t>degar. Habibi Seyed Mohsen (2015)., soffeh, 25(68), 35.</w:t>
        <w:br/>
        <w:br/>
      </w:r>
      <w:r>
        <w:rPr>
          <w:rFonts w:ascii="Arial-BoldMT" w:hAnsi="Arial-BoldMT" w:cs="Arial-BoldMT" w:eastAsia="Arial-BoldMT"/>
          <w:b w:val="true"/>
          <w:sz w:val="20"/>
        </w:rPr>
        <w:t xml:space="preserve">8.  </w:t>
      </w:r>
      <w:r>
        <w:rPr>
          <w:rFonts w:ascii="Arial-BoldMT" w:hAnsi="Arial-BoldMT" w:cs="Arial-BoldMT" w:eastAsia="Arial-BoldMT"/>
          <w:sz w:val="20"/>
        </w:rPr>
        <w:t>citys. Habibi Seyed Mohsen, Khademizadeh Mohammad Hassan (2014)., Armanshahr Architecture &amp; Urban Development Journal, 5(13), 23.</w:t>
        <w:br/>
        <w:br/>
      </w:r>
      <w:r>
        <w:rPr>
          <w:rFonts w:ascii="Arial-BoldMT" w:hAnsi="Arial-BoldMT" w:cs="Arial-BoldMT" w:eastAsia="Arial-BoldMT"/>
          <w:b w:val="true"/>
          <w:sz w:val="20"/>
        </w:rPr>
        <w:t xml:space="preserve">9.  </w:t>
      </w:r>
      <w:r>
        <w:rPr>
          <w:rFonts w:ascii="Arial-BoldMT" w:hAnsi="Arial-BoldMT" w:cs="Arial-BoldMT" w:eastAsia="Arial-BoldMT"/>
          <w:sz w:val="20"/>
        </w:rPr>
        <w:t>books. Habibi Seyed Mohsen, Hjk Hjk (2014)., Honar-ha-ye-ziba  Memari-Va-Shahrsazi, 12(11), 45.</w:t>
        <w:br/>
        <w:br/>
      </w:r>
      <w:r>
        <w:rPr>
          <w:rFonts w:ascii="Arial-BoldMT" w:hAnsi="Arial-BoldMT" w:cs="Arial-BoldMT" w:eastAsia="Arial-BoldMT"/>
          <w:b w:val="true"/>
          <w:sz w:val="20"/>
        </w:rPr>
        <w:t xml:space="preserve">10.  </w:t>
      </w:r>
      <w:r>
        <w:rPr>
          <w:rFonts w:ascii="Arial-BoldMT" w:hAnsi="Arial-BoldMT" w:cs="Arial-BoldMT" w:eastAsia="Arial-BoldMT"/>
          <w:sz w:val="20"/>
        </w:rPr>
        <w:t>city. Habibi Seyed Mohsen, Lkj Fgh (2013)., Honar-ha-ye-ziba  Memari-Va-Shahrsazi, 18(2), 56.</w:t>
        <w:br/>
        <w:br/>
      </w:r>
      <w:r>
        <w:rPr>
          <w:rFonts w:ascii="Arial-BoldMT" w:hAnsi="Arial-BoldMT" w:cs="Arial-BoldMT" w:eastAsia="Arial-BoldMT"/>
          <w:b w:val="true"/>
          <w:sz w:val="20"/>
        </w:rPr>
        <w:t xml:space="preserve">11.  </w:t>
      </w:r>
      <w:r>
        <w:rPr>
          <w:rFonts w:ascii="Arial-BoldMT" w:hAnsi="Arial-BoldMT" w:cs="Arial-BoldMT" w:eastAsia="Arial-BoldMT"/>
          <w:sz w:val="20"/>
        </w:rPr>
        <w:t>boo. Habibi Seyed Mohsen, Jkl Hjk (2013)., Hoviate shahr, 1(2), 12.</w:t>
        <w:br/>
        <w:br/>
      </w:r>
      <w:r>
        <w:rPr>
          <w:rFonts w:ascii="Arial-BoldMT" w:hAnsi="Arial-BoldMT" w:cs="Arial-BoldMT" w:eastAsia="Arial-BoldMT"/>
          <w:b w:val="true"/>
          <w:sz w:val="20"/>
        </w:rPr>
        <w:t xml:space="preserve">12.  </w:t>
      </w:r>
      <w:r>
        <w:rPr>
          <w:rFonts w:ascii="Arial-BoldMT" w:hAnsi="Arial-BoldMT" w:cs="Arial-BoldMT" w:eastAsia="Arial-BoldMT"/>
          <w:sz w:val="20"/>
        </w:rPr>
        <w:t>a. Habibi Seyed Mohsen (2012)., Haft Shahr, 4(12-13), -.</w:t>
        <w:br/>
        <w:br/>
      </w:r>
      <w:r>
        <w:rPr>
          <w:rFonts w:ascii="Arial-BoldMT" w:hAnsi="Arial-BoldMT" w:cs="Arial-BoldMT" w:eastAsia="Arial-BoldMT"/>
          <w:b w:val="true"/>
          <w:sz w:val="20"/>
        </w:rPr>
        <w:t xml:space="preserve">13.  </w:t>
      </w:r>
      <w:r>
        <w:rPr>
          <w:rFonts w:ascii="Arial-BoldMT" w:hAnsi="Arial-BoldMT" w:cs="Arial-BoldMT" w:eastAsia="Arial-BoldMT"/>
          <w:sz w:val="20"/>
        </w:rPr>
        <w:t>book. Habibi Seyed Mohsen, Jjk Kl;, Hjk Hjk, Kl; Jkl (2012)., soffeh, 22(56), 33.</w:t>
        <w:br/>
        <w:br/>
      </w:r>
      <w:r>
        <w:rPr>
          <w:rFonts w:ascii="Arial-BoldMT" w:hAnsi="Arial-BoldMT" w:cs="Arial-BoldMT" w:eastAsia="Arial-BoldMT"/>
          <w:b w:val="true"/>
          <w:sz w:val="20"/>
        </w:rPr>
        <w:t xml:space="preserve">14.  </w:t>
      </w:r>
      <w:r>
        <w:rPr>
          <w:rFonts w:ascii="Arial-BoldMT" w:hAnsi="Arial-BoldMT" w:cs="Arial-BoldMT" w:eastAsia="Arial-BoldMT"/>
          <w:sz w:val="20"/>
        </w:rPr>
        <w:t>bbb. Habibi Seyed Mohsen, Jhk Lkj, Jkl Hjk (2011)., Journal of Housing and Rural Environment, 3(135), 22.</w:t>
        <w:br/>
        <w:br/>
      </w:r>
      <w:r>
        <w:rPr>
          <w:rFonts w:ascii="Arial-BoldMT" w:hAnsi="Arial-BoldMT" w:cs="Arial-BoldMT" w:eastAsia="Arial-BoldMT"/>
          <w:b w:val="true"/>
          <w:sz w:val="20"/>
        </w:rPr>
        <w:t xml:space="preserve">15.  </w:t>
      </w:r>
      <w:r>
        <w:rPr>
          <w:rFonts w:ascii="Arial-BoldMT" w:hAnsi="Arial-BoldMT" w:cs="Arial-BoldMT" w:eastAsia="Arial-BoldMT"/>
          <w:sz w:val="20"/>
        </w:rPr>
        <w:t>. Habibi Seyed Mohsen,  Mina Saïdi (2010)., Urbanisme, -(374), -.</w:t>
        <w:br/>
        <w:br/>
      </w:r>
      <w:r>
        <w:rPr>
          <w:rFonts w:ascii="Arial-BoldMT" w:hAnsi="Arial-BoldMT" w:cs="Arial-BoldMT" w:eastAsia="Arial-BoldMT"/>
          <w:b w:val="true"/>
          <w:sz w:val="20"/>
        </w:rPr>
        <w:t xml:space="preserve">16.  </w:t>
      </w:r>
      <w:r>
        <w:rPr>
          <w:rFonts w:ascii="Arial-BoldMT" w:hAnsi="Arial-BoldMT" w:cs="Arial-BoldMT" w:eastAsia="Arial-BoldMT"/>
          <w:sz w:val="20"/>
        </w:rPr>
        <w:t>hjk. Habibi Seyed Mohsen,  سارا حمیده,  محمدرضا نوید پور (2010)., Geography and Planning, 15(31), 109-232.</w:t>
        <w:br/>
        <w:br/>
      </w:r>
      <w:r>
        <w:rPr>
          <w:rFonts w:ascii="Arial-BoldMT" w:hAnsi="Arial-BoldMT" w:cs="Arial-BoldMT" w:eastAsia="Arial-BoldMT"/>
          <w:b w:val="true"/>
          <w:sz w:val="20"/>
        </w:rPr>
        <w:t xml:space="preserve">17.  </w:t>
      </w:r>
      <w:r>
        <w:rPr>
          <w:rFonts w:ascii="Arial-BoldMT" w:hAnsi="Arial-BoldMT" w:cs="Arial-BoldMT" w:eastAsia="Arial-BoldMT"/>
          <w:sz w:val="20"/>
        </w:rPr>
        <w:t>. Habibi Seyed Mohsen (2009)., Architecture and Urbanism, 38(38), 93-103.</w:t>
        <w:br/>
        <w:br/>
      </w:r>
      <w:r>
        <w:rPr>
          <w:rFonts w:ascii="Arial-BoldMT" w:hAnsi="Arial-BoldMT" w:cs="Arial-BoldMT" w:eastAsia="Arial-BoldMT"/>
          <w:b w:val="true"/>
          <w:sz w:val="20"/>
        </w:rPr>
        <w:t xml:space="preserve">18.  </w:t>
      </w:r>
      <w:r>
        <w:rPr>
          <w:rFonts w:ascii="Arial-BoldMT" w:hAnsi="Arial-BoldMT" w:cs="Arial-BoldMT" w:eastAsia="Arial-BoldMT"/>
          <w:sz w:val="20"/>
        </w:rPr>
        <w:t>. Habibi Seyed Mohsen,  زهرا اهری (2008)., Architecture and Urbanism, 34(34), 5-15.</w:t>
        <w:br/>
        <w:br/>
      </w:r>
      <w:r>
        <w:rPr>
          <w:rFonts w:ascii="Arial-BoldMT" w:hAnsi="Arial-BoldMT" w:cs="Arial-BoldMT" w:eastAsia="Arial-BoldMT"/>
          <w:b w:val="true"/>
          <w:sz w:val="20"/>
        </w:rPr>
        <w:t xml:space="preserve">19.  </w:t>
      </w:r>
      <w:r>
        <w:rPr>
          <w:rFonts w:ascii="Arial-BoldMT" w:hAnsi="Arial-BoldMT" w:cs="Arial-BoldMT" w:eastAsia="Arial-BoldMT"/>
          <w:sz w:val="20"/>
        </w:rPr>
        <w:t>. Habibi Seyed Mohsen,  مرتضی هادی جابر مقدم,  حبیب امامی آرندی (2008).</w:t>
        <w:br/>
        <w:br/>
      </w:r>
      <w:r>
        <w:rPr>
          <w:rFonts w:ascii="Arial-BoldMT" w:hAnsi="Arial-BoldMT" w:cs="Arial-BoldMT" w:eastAsia="Arial-BoldMT"/>
          <w:b w:val="true"/>
          <w:sz w:val="20"/>
        </w:rPr>
        <w:t xml:space="preserve">20.  </w:t>
      </w:r>
      <w:r>
        <w:rPr>
          <w:rFonts w:ascii="Arial-BoldMT" w:hAnsi="Arial-BoldMT" w:cs="Arial-BoldMT" w:eastAsia="Arial-BoldMT"/>
          <w:sz w:val="20"/>
        </w:rPr>
        <w:t>. Habibi Seyed Mohsen,  هادی سعیدی رضوانی (2005)., Architecture and Urbanism, -(24), 15-24.</w:t>
        <w:br/>
        <w:br/>
      </w:r>
      <w:r>
        <w:rPr>
          <w:rFonts w:ascii="Arial-BoldMT" w:hAnsi="Arial-BoldMT" w:cs="Arial-BoldMT" w:eastAsia="Arial-BoldMT"/>
          <w:b w:val="true"/>
          <w:sz w:val="20"/>
        </w:rPr>
        <w:t xml:space="preserve">21.  </w:t>
      </w:r>
      <w:r>
        <w:rPr>
          <w:rFonts w:ascii="Arial-BoldMT" w:hAnsi="Arial-BoldMT" w:cs="Arial-BoldMT" w:eastAsia="Arial-BoldMT"/>
          <w:sz w:val="20"/>
        </w:rPr>
        <w:t>. Habibi Seyed Mohsen,  مرتضی هادی جابری ‌مقدم (2005)., Architecture and Urbanism, -(21), 35-46.</w:t>
        <w:br/>
        <w:br/>
      </w:r>
      <w:r>
        <w:rPr>
          <w:rFonts w:ascii="Arial-BoldMT" w:hAnsi="Arial-BoldMT" w:cs="Arial-BoldMT" w:eastAsia="Arial-BoldMT"/>
          <w:b w:val="true"/>
          <w:sz w:val="20"/>
        </w:rPr>
        <w:t xml:space="preserve">22.  </w:t>
      </w:r>
      <w:r>
        <w:rPr>
          <w:rFonts w:ascii="Arial-BoldMT" w:hAnsi="Arial-BoldMT" w:cs="Arial-BoldMT" w:eastAsia="Arial-BoldMT"/>
          <w:sz w:val="20"/>
        </w:rPr>
        <w:t>.  Sahraei H, Habibi Seyed Mohsen (2005)., Les Cahiers de lOrient, 79(3), 95-100.</w:t>
        <w:br/>
        <w:br/>
      </w:r>
      <w:r>
        <w:rPr>
          <w:rFonts w:ascii="Arial-BoldMT" w:hAnsi="Arial-BoldMT" w:cs="Arial-BoldMT" w:eastAsia="Arial-BoldMT"/>
          <w:b w:val="true"/>
          <w:sz w:val="20"/>
        </w:rPr>
        <w:t xml:space="preserve">23.  </w:t>
      </w:r>
      <w:r>
        <w:rPr>
          <w:rFonts w:ascii="Arial-BoldMT" w:hAnsi="Arial-BoldMT" w:cs="Arial-BoldMT" w:eastAsia="Arial-BoldMT"/>
          <w:sz w:val="20"/>
        </w:rPr>
        <w:t>.  زهرا اهری, Habibi Seyed Mohsen (2004)., Architecture and Urbanism, 19(19), 5-16.</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An introduction to Structuralism of Levi Strauss. Rahmani Mehrdad, Habibi Seyed Mohsen (2017).</w:t>
        <w:br/>
        <w:br/>
      </w:r>
      <w:r>
        <w:rPr>
          <w:rFonts w:ascii="Arial-BoldMT" w:hAnsi="Arial-BoldMT" w:cs="Arial-BoldMT" w:eastAsia="Arial-BoldMT"/>
          <w:b w:val="true"/>
          <w:sz w:val="20"/>
        </w:rPr>
        <w:t xml:space="preserve">2.  </w:t>
      </w:r>
      <w:r>
        <w:rPr>
          <w:rFonts w:ascii="Arial-BoldMT" w:hAnsi="Arial-BoldMT" w:cs="Arial-BoldMT" w:eastAsia="Arial-BoldMT"/>
          <w:sz w:val="20"/>
        </w:rPr>
        <w:t>a. Habibi Seyed Mohsen, L;k Hjk (2015).</w:t>
        <w:br/>
        <w:br/>
      </w:r>
      <w:r>
        <w:rPr>
          <w:rFonts w:ascii="Arial-BoldMT" w:hAnsi="Arial-BoldMT" w:cs="Arial-BoldMT" w:eastAsia="Arial-BoldMT"/>
          <w:b w:val="true"/>
          <w:sz w:val="20"/>
        </w:rPr>
        <w:t xml:space="preserve">3.  </w:t>
      </w:r>
      <w:r>
        <w:rPr>
          <w:rFonts w:ascii="Arial-BoldMT" w:hAnsi="Arial-BoldMT" w:cs="Arial-BoldMT" w:eastAsia="Arial-BoldMT"/>
          <w:sz w:val="20"/>
        </w:rPr>
        <w:t>a. Habibi Seyed Mohsen (2015).</w:t>
        <w:br/>
        <w:br/>
      </w:r>
      <w:r>
        <w:rPr>
          <w:rFonts w:ascii="Arial-BoldMT" w:hAnsi="Arial-BoldMT" w:cs="Arial-BoldMT" w:eastAsia="Arial-BoldMT"/>
          <w:b w:val="true"/>
          <w:sz w:val="20"/>
        </w:rPr>
        <w:t xml:space="preserve">4.  </w:t>
      </w:r>
      <w:r>
        <w:rPr>
          <w:rFonts w:ascii="Arial-BoldMT" w:hAnsi="Arial-BoldMT" w:cs="Arial-BoldMT" w:eastAsia="Arial-BoldMT"/>
          <w:sz w:val="20"/>
        </w:rPr>
        <w:t>a. Habibi Seyed Mohsen (2013).</w:t>
        <w:br/>
        <w:br/>
      </w:r>
      <w:r>
        <w:rPr>
          <w:rFonts w:ascii="Arial-BoldMT" w:hAnsi="Arial-BoldMT" w:cs="Arial-BoldMT" w:eastAsia="Arial-BoldMT"/>
          <w:b w:val="true"/>
          <w:sz w:val="20"/>
        </w:rPr>
        <w:t xml:space="preserve">5.  </w:t>
      </w:r>
      <w:r>
        <w:rPr>
          <w:rFonts w:ascii="Arial-BoldMT" w:hAnsi="Arial-BoldMT" w:cs="Arial-BoldMT" w:eastAsia="Arial-BoldMT"/>
          <w:sz w:val="20"/>
        </w:rPr>
        <w:t>aa. Habibi Seyed Mohsen, Hjk Hjk (2012).</w:t>
        <w:br/>
        <w:br/>
      </w:r>
      <w:r>
        <w:rPr>
          <w:rFonts w:ascii="Arial-BoldMT" w:hAnsi="Arial-BoldMT" w:cs="Arial-BoldMT" w:eastAsia="Arial-BoldMT"/>
          <w:b w:val="true"/>
          <w:sz w:val="20"/>
        </w:rPr>
        <w:t xml:space="preserve">6.  </w:t>
      </w:r>
      <w:r>
        <w:rPr>
          <w:rFonts w:ascii="Arial-BoldMT" w:hAnsi="Arial-BoldMT" w:cs="Arial-BoldMT" w:eastAsia="Arial-BoldMT"/>
          <w:sz w:val="20"/>
        </w:rPr>
        <w:t>dfg. Habibi Seyed Mohsen (2011).</w:t>
        <w:br/>
        <w:br/>
      </w:r>
      <w:r>
        <w:rPr>
          <w:rFonts w:ascii="Arial-BoldMT" w:hAnsi="Arial-BoldMT" w:cs="Arial-BoldMT" w:eastAsia="Arial-BoldMT"/>
          <w:b w:val="true"/>
          <w:sz w:val="20"/>
        </w:rPr>
        <w:t xml:space="preserve">7.  </w:t>
      </w:r>
      <w:r>
        <w:rPr>
          <w:rFonts w:ascii="Arial-BoldMT" w:hAnsi="Arial-BoldMT" w:cs="Arial-BoldMT" w:eastAsia="Arial-BoldMT"/>
          <w:sz w:val="20"/>
        </w:rPr>
        <w:t>fghh. Habibi Seyed Mohsen (2010).</w:t>
        <w:br/>
        <w:br/>
      </w:r>
      <w:r>
        <w:rPr>
          <w:rFonts w:ascii="Arial-BoldMT" w:hAnsi="Arial-BoldMT" w:cs="Arial-BoldMT" w:eastAsia="Arial-BoldMT"/>
          <w:b w:val="true"/>
          <w:sz w:val="20"/>
        </w:rPr>
        <w:t xml:space="preserve">8.  </w:t>
      </w:r>
      <w:r>
        <w:rPr>
          <w:rFonts w:ascii="Arial-BoldMT" w:hAnsi="Arial-BoldMT" w:cs="Arial-BoldMT" w:eastAsia="Arial-BoldMT"/>
          <w:sz w:val="20"/>
        </w:rPr>
        <w:t>اطلس کلانشهر تهران. Habibi Seyed Mohsen,  برنارد هورکاد, Mirzai Mohammad (2005).</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400 dastgah narmak nazi-Abad. Habibi Ranasadat, Meulder Bruno, Habibi Seyed Mohsen (2012)., International Conference urban change in iran, 8-9 November, London, England .</w:t>
        <w:br/>
        <w:br/>
      </w:r>
      <w:r>
        <w:rPr>
          <w:rFonts w:ascii="Arial-BoldMT" w:hAnsi="Arial-BoldMT" w:cs="Arial-BoldMT" w:eastAsia="Arial-BoldMT"/>
          <w:b w:val="true"/>
          <w:sz w:val="20"/>
        </w:rPr>
        <w:t xml:space="preserve">2.  </w:t>
      </w:r>
      <w:r>
        <w:rPr>
          <w:rFonts w:ascii="Arial-BoldMT" w:hAnsi="Arial-BoldMT" w:cs="Arial-BoldMT" w:eastAsia="Arial-BoldMT"/>
          <w:sz w:val="20"/>
        </w:rPr>
        <w:t>The role of religion in the contemporary era with an emphasis on enjoining good and forbidding wrong. Esmaeili Mohammad Mehdi, Habibi Seyed Mohsen (2011)., The International Conference on responsible citizen, 11-12 December, Isfahan,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w:t>
        <w:br/>
      </w:r>
      <w:r>
        <w:rPr>
          <w:rFonts w:ascii="ArialMT" w:hAnsi="ArialMT" w:cs="ArialMT" w:eastAsia="ArialMT"/>
          <w:sz w:val="20"/>
        </w:rPr>
        <w:t xml:space="preserve">  2016,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Seyed Mohsen Habibi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