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Bayat</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Foreign Languages and Literature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(21)02161119105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Urdu Language and Literature</w:t>
        <w:br/>
      </w:r>
      <w:r>
        <w:rPr>
          <w:rFonts w:ascii="ArialMT" w:hAnsi="ArialMT" w:cs="ArialMT" w:eastAsia="ArialMT"/>
          <w:sz w:val="20"/>
        </w:rPr>
        <w:t>University of Punjab</w:t>
      </w:r>
      <w:r>
        <w:tab/>
        <w:tab/>
        <w:t>2005-2008</w:t>
        <w:br/>
      </w:r>
      <w:r>
        <w:rPr>
          <w:rFonts w:ascii="Arial-BoldMT" w:hAnsi="Arial-BoldMT" w:cs="Arial-BoldMT" w:eastAsia="Arial-BoldMT"/>
          <w:b w:val="true"/>
          <w:sz w:val="20"/>
        </w:rPr>
        <w:t>M.Sc In Urdu Language and Literature</w:t>
        <w:br/>
      </w:r>
      <w:r>
        <w:rPr>
          <w:rFonts w:ascii="ArialMT" w:hAnsi="ArialMT" w:cs="ArialMT" w:eastAsia="ArialMT"/>
          <w:sz w:val="20"/>
        </w:rPr>
        <w:t>University of Punjab</w:t>
      </w:r>
      <w:r>
        <w:tab/>
        <w:tab/>
        <w:t>1997-2000</w:t>
        <w:br/>
      </w:r>
      <w:r>
        <w:rPr>
          <w:rFonts w:ascii="Arial-BoldMT" w:hAnsi="Arial-BoldMT" w:cs="Arial-BoldMT" w:eastAsia="Arial-BoldMT"/>
          <w:b w:val="true"/>
          <w:sz w:val="20"/>
        </w:rPr>
        <w:t>B.Sc In urdu languge</w:t>
        <w:br/>
      </w:r>
      <w:r>
        <w:rPr>
          <w:rFonts w:ascii="ArialMT" w:hAnsi="ArialMT" w:cs="ArialMT" w:eastAsia="ArialMT"/>
          <w:sz w:val="20"/>
        </w:rPr>
        <w:t>University of tehran</w:t>
      </w:r>
      <w:r>
        <w:tab/>
        <w:tab/>
        <w:t>1991-1995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Features of the  Persian Poems of Mir Taqi Mir. Bayat Ali, Kiumarsi Jertode Mohammad (2023)., Alhamd, 2(20), 66-79.</w:t>
        <w:br/>
        <w:br/>
      </w:r>
      <w:r>
        <w:rPr>
          <w:rFonts w:ascii="Arial-BoldMT" w:hAnsi="Arial-BoldMT" w:cs="Arial-BoldMT" w:eastAsia="Arial-BoldMT"/>
          <w:b w:val="true"/>
          <w:sz w:val="20"/>
        </w:rPr>
        <w:t xml:space="preserve">2.  </w:t>
      </w:r>
      <w:r>
        <w:rPr>
          <w:rFonts w:ascii="Arial-BoldMT" w:hAnsi="Arial-BoldMT" w:cs="Arial-BoldMT" w:eastAsia="Arial-BoldMT"/>
          <w:sz w:val="20"/>
        </w:rPr>
        <w:t>Peace and friendship in the Poems of Rumi, Saadi and Hafiz. Bayat Ali, Saleem aneela (2023)., khayaban, 48(1), 216-234.</w:t>
        <w:br/>
        <w:br/>
      </w:r>
      <w:r>
        <w:rPr>
          <w:rFonts w:ascii="Arial-BoldMT" w:hAnsi="Arial-BoldMT" w:cs="Arial-BoldMT" w:eastAsia="Arial-BoldMT"/>
          <w:b w:val="true"/>
          <w:sz w:val="20"/>
        </w:rPr>
        <w:t xml:space="preserve">3.  </w:t>
      </w:r>
      <w:r>
        <w:rPr>
          <w:rFonts w:ascii="Arial-BoldMT" w:hAnsi="Arial-BoldMT" w:cs="Arial-BoldMT" w:eastAsia="Arial-BoldMT"/>
          <w:sz w:val="20"/>
        </w:rPr>
        <w:t>Hasrat Mohani’s Letter Writing in British Prison. Saleem aneela, Bayat Ali (2022)., Zaban -o- Adab, 15(1), 1-16.</w:t>
        <w:br/>
        <w:br/>
      </w:r>
      <w:r>
        <w:rPr>
          <w:rFonts w:ascii="Arial-BoldMT" w:hAnsi="Arial-BoldMT" w:cs="Arial-BoldMT" w:eastAsia="Arial-BoldMT"/>
          <w:b w:val="true"/>
          <w:sz w:val="20"/>
        </w:rPr>
        <w:t xml:space="preserve">4.  </w:t>
      </w:r>
      <w:r>
        <w:rPr>
          <w:rFonts w:ascii="Arial-BoldMT" w:hAnsi="Arial-BoldMT" w:cs="Arial-BoldMT" w:eastAsia="Arial-BoldMT"/>
          <w:sz w:val="20"/>
        </w:rPr>
        <w:t>A Critical Analysis of the Content of Iqbal's Revelations  in the Poem of the "Majlis-e- Iblis". Bayat Ali (2021)., Critical Studies in Texts &amp; Programs of Human Sciences, 21(10).</w:t>
        <w:br/>
        <w:br/>
      </w:r>
      <w:r>
        <w:rPr>
          <w:rFonts w:ascii="Arial-BoldMT" w:hAnsi="Arial-BoldMT" w:cs="Arial-BoldMT" w:eastAsia="Arial-BoldMT"/>
          <w:b w:val="true"/>
          <w:sz w:val="20"/>
        </w:rPr>
        <w:t xml:space="preserve">5.  </w:t>
      </w:r>
      <w:r>
        <w:rPr>
          <w:rFonts w:ascii="Arial-BoldMT" w:hAnsi="Arial-BoldMT" w:cs="Arial-BoldMT" w:eastAsia="Arial-BoldMT"/>
          <w:sz w:val="20"/>
        </w:rPr>
        <w:t>Urdu Poetry: Changing Vistas Of Language And Expression Through The Ages. Razzaq Noorin, Bayat Ali (2021)., Zaban -o- Adab, -(28), 7-27.</w:t>
        <w:br/>
        <w:br/>
      </w:r>
      <w:r>
        <w:rPr>
          <w:rFonts w:ascii="Arial-BoldMT" w:hAnsi="Arial-BoldMT" w:cs="Arial-BoldMT" w:eastAsia="Arial-BoldMT"/>
          <w:b w:val="true"/>
          <w:sz w:val="20"/>
        </w:rPr>
        <w:t xml:space="preserve">6.  </w:t>
      </w:r>
      <w:r>
        <w:rPr>
          <w:rFonts w:ascii="Arial-BoldMT" w:hAnsi="Arial-BoldMT" w:cs="Arial-BoldMT" w:eastAsia="Arial-BoldMT"/>
          <w:sz w:val="20"/>
        </w:rPr>
        <w:t>The Influences of Persian on Urdu Poetry &amp; Literature: Some Aspects. Bayat Ali (2021)., khayaban, -(44), 56-73.</w:t>
        <w:br/>
        <w:br/>
      </w:r>
      <w:r>
        <w:rPr>
          <w:rFonts w:ascii="Arial-BoldMT" w:hAnsi="Arial-BoldMT" w:cs="Arial-BoldMT" w:eastAsia="Arial-BoldMT"/>
          <w:b w:val="true"/>
          <w:sz w:val="20"/>
        </w:rPr>
        <w:t xml:space="preserve">7.  </w:t>
      </w:r>
      <w:r>
        <w:rPr>
          <w:rFonts w:ascii="Arial-BoldMT" w:hAnsi="Arial-BoldMT" w:cs="Arial-BoldMT" w:eastAsia="Arial-BoldMT"/>
          <w:sz w:val="20"/>
        </w:rPr>
        <w:t>The Political contexts of the formation of Alawite migration in Iran of  Abbasid period  and it.s impact on the spread of Shiia. Dehghanpour Zohre, Bayat Ali, Qaedan Asghar (2020).</w:t>
        <w:br/>
        <w:br/>
      </w:r>
      <w:r>
        <w:rPr>
          <w:rFonts w:ascii="Arial-BoldMT" w:hAnsi="Arial-BoldMT" w:cs="Arial-BoldMT" w:eastAsia="Arial-BoldMT"/>
          <w:b w:val="true"/>
          <w:sz w:val="20"/>
        </w:rPr>
        <w:t xml:space="preserve">8.  </w:t>
      </w:r>
      <w:r>
        <w:rPr>
          <w:rFonts w:ascii="Arial-BoldMT" w:hAnsi="Arial-BoldMT" w:cs="Arial-BoldMT" w:eastAsia="Arial-BoldMT"/>
          <w:sz w:val="20"/>
        </w:rPr>
        <w:t>four important Iranian  Iqbalist. Bayat Ali (2020)., Bazyaft, -(33).</w:t>
        <w:br/>
        <w:br/>
      </w:r>
      <w:r>
        <w:rPr>
          <w:rFonts w:ascii="Arial-BoldMT" w:hAnsi="Arial-BoldMT" w:cs="Arial-BoldMT" w:eastAsia="Arial-BoldMT"/>
          <w:b w:val="true"/>
          <w:sz w:val="20"/>
        </w:rPr>
        <w:t xml:space="preserve">9.  </w:t>
      </w:r>
      <w:r>
        <w:rPr>
          <w:rFonts w:ascii="Arial-BoldMT" w:hAnsi="Arial-BoldMT" w:cs="Arial-BoldMT" w:eastAsia="Arial-BoldMT"/>
          <w:sz w:val="20"/>
        </w:rPr>
        <w:t>Trends of Satire in Pakistani Humors (Urdu) Poetry. Bayat Ali, Razzaq Noorin (2019)., Zaban -o- Adab, -(25).</w:t>
        <w:br/>
        <w:br/>
      </w:r>
      <w:r>
        <w:rPr>
          <w:rFonts w:ascii="Arial-BoldMT" w:hAnsi="Arial-BoldMT" w:cs="Arial-BoldMT" w:eastAsia="Arial-BoldMT"/>
          <w:b w:val="true"/>
          <w:sz w:val="20"/>
        </w:rPr>
        <w:t xml:space="preserve">10.  </w:t>
      </w:r>
      <w:r>
        <w:rPr>
          <w:rFonts w:ascii="Arial-BoldMT" w:hAnsi="Arial-BoldMT" w:cs="Arial-BoldMT" w:eastAsia="Arial-BoldMT"/>
          <w:sz w:val="20"/>
        </w:rPr>
        <w:t>An overview of the structure and meaning of selected Turkish words in Persian and Urdu. Bayat Ali (2019)., Almas, -(21).</w:t>
        <w:br/>
        <w:br/>
      </w:r>
      <w:r>
        <w:rPr>
          <w:rFonts w:ascii="Arial-BoldMT" w:hAnsi="Arial-BoldMT" w:cs="Arial-BoldMT" w:eastAsia="Arial-BoldMT"/>
          <w:b w:val="true"/>
          <w:sz w:val="20"/>
        </w:rPr>
        <w:t xml:space="preserve">11.  </w:t>
      </w:r>
      <w:r>
        <w:rPr>
          <w:rFonts w:ascii="Arial-BoldMT" w:hAnsi="Arial-BoldMT" w:cs="Arial-BoldMT" w:eastAsia="Arial-BoldMT"/>
          <w:sz w:val="20"/>
        </w:rPr>
        <w:t>Sar Khosh Mohammad Afzal. Bayat Ali (2017).</w:t>
        <w:br/>
        <w:br/>
      </w:r>
      <w:r>
        <w:rPr>
          <w:rFonts w:ascii="Arial-BoldMT" w:hAnsi="Arial-BoldMT" w:cs="Arial-BoldMT" w:eastAsia="Arial-BoldMT"/>
          <w:b w:val="true"/>
          <w:sz w:val="20"/>
        </w:rPr>
        <w:t xml:space="preserve">12.  </w:t>
      </w:r>
      <w:r>
        <w:rPr>
          <w:rFonts w:ascii="Arial-BoldMT" w:hAnsi="Arial-BoldMT" w:cs="Arial-BoldMT" w:eastAsia="Arial-BoldMT"/>
          <w:sz w:val="20"/>
        </w:rPr>
        <w:t>A  short study of Remembering  Imam Reza in persian  poetry. Bayat Ali (2017)., Iran Novin, ---(17), 18-21.</w:t>
        <w:br/>
        <w:br/>
      </w:r>
      <w:r>
        <w:rPr>
          <w:rFonts w:ascii="Arial-BoldMT" w:hAnsi="Arial-BoldMT" w:cs="Arial-BoldMT" w:eastAsia="Arial-BoldMT"/>
          <w:b w:val="true"/>
          <w:sz w:val="20"/>
        </w:rPr>
        <w:t xml:space="preserve">13.  </w:t>
      </w:r>
      <w:r>
        <w:rPr>
          <w:rFonts w:ascii="Arial-BoldMT" w:hAnsi="Arial-BoldMT" w:cs="Arial-BoldMT" w:eastAsia="Arial-BoldMT"/>
          <w:sz w:val="20"/>
        </w:rPr>
        <w:t>A study Of Iranian Sites/Landmarks in Allama Iqbals Poetry. Bayat Ali (2016)., Almas, --(18), 37-55.</w:t>
        <w:br/>
        <w:br/>
      </w:r>
      <w:r>
        <w:rPr>
          <w:rFonts w:ascii="Arial-BoldMT" w:hAnsi="Arial-BoldMT" w:cs="Arial-BoldMT" w:eastAsia="Arial-BoldMT"/>
          <w:b w:val="true"/>
          <w:sz w:val="20"/>
        </w:rPr>
        <w:t xml:space="preserve">14.  </w:t>
      </w:r>
      <w:r>
        <w:rPr>
          <w:rFonts w:ascii="Arial-BoldMT" w:hAnsi="Arial-BoldMT" w:cs="Arial-BoldMT" w:eastAsia="Arial-BoldMT"/>
          <w:sz w:val="20"/>
        </w:rPr>
        <w:t>Adib ul Mamlik Farahani and Maulana Hali: A Comparative Study. Bayat Ali (2015)., Daryaft, -(14), 9-25.</w:t>
        <w:br/>
        <w:br/>
      </w:r>
      <w:r>
        <w:rPr>
          <w:rFonts w:ascii="Arial-BoldMT" w:hAnsi="Arial-BoldMT" w:cs="Arial-BoldMT" w:eastAsia="Arial-BoldMT"/>
          <w:b w:val="true"/>
          <w:sz w:val="20"/>
        </w:rPr>
        <w:t xml:space="preserve">15.  </w:t>
      </w:r>
      <w:r>
        <w:rPr>
          <w:rFonts w:ascii="Arial-BoldMT" w:hAnsi="Arial-BoldMT" w:cs="Arial-BoldMT" w:eastAsia="Arial-BoldMT"/>
          <w:sz w:val="20"/>
        </w:rPr>
        <w:t>Behavior of Western  Countries Toward Persian Gulf, A Review. Sajedi Saba Tahmoures, Bayat Ali (2014).</w:t>
        <w:br/>
        <w:br/>
      </w:r>
      <w:r>
        <w:rPr>
          <w:rFonts w:ascii="Arial-BoldMT" w:hAnsi="Arial-BoldMT" w:cs="Arial-BoldMT" w:eastAsia="Arial-BoldMT"/>
          <w:b w:val="true"/>
          <w:sz w:val="20"/>
        </w:rPr>
        <w:t xml:space="preserve">16.  </w:t>
      </w:r>
      <w:r>
        <w:rPr>
          <w:rFonts w:ascii="Arial-BoldMT" w:hAnsi="Arial-BoldMT" w:cs="Arial-BoldMT" w:eastAsia="Arial-BoldMT"/>
          <w:sz w:val="20"/>
        </w:rPr>
        <w:t>Study of Mirza Mohammad Rafi Souda`s Praise and Eulogy Ods. Bayat Ali (2014)., Critical Studies in Texts &amp; Programs of Human Sciences, -(32), 27-51.</w:t>
        <w:br/>
        <w:br/>
      </w:r>
      <w:r>
        <w:rPr>
          <w:rFonts w:ascii="Arial-BoldMT" w:hAnsi="Arial-BoldMT" w:cs="Arial-BoldMT" w:eastAsia="Arial-BoldMT"/>
          <w:b w:val="true"/>
          <w:sz w:val="20"/>
        </w:rPr>
        <w:t xml:space="preserve">17.  </w:t>
      </w:r>
      <w:r>
        <w:rPr>
          <w:rFonts w:ascii="Arial-BoldMT" w:hAnsi="Arial-BoldMT" w:cs="Arial-BoldMT" w:eastAsia="Arial-BoldMT"/>
          <w:sz w:val="20"/>
        </w:rPr>
        <w:t>Zoqe Dehlavi. Bayat Ali (2014).</w:t>
        <w:br/>
        <w:br/>
      </w:r>
      <w:r>
        <w:rPr>
          <w:rFonts w:ascii="Arial-BoldMT" w:hAnsi="Arial-BoldMT" w:cs="Arial-BoldMT" w:eastAsia="Arial-BoldMT"/>
          <w:b w:val="true"/>
          <w:sz w:val="20"/>
        </w:rPr>
        <w:t xml:space="preserve">18.  </w:t>
      </w:r>
      <w:r>
        <w:rPr>
          <w:rFonts w:ascii="Arial-BoldMT" w:hAnsi="Arial-BoldMT" w:cs="Arial-BoldMT" w:eastAsia="Arial-BoldMT"/>
          <w:sz w:val="20"/>
        </w:rPr>
        <w:t>The Background of Vasukht Gener and its Comparis in Persisn andUrdu Literature. Bayat Ali (2013)., Comprative Litreture, سوم(دوم), 74-93.</w:t>
        <w:br/>
        <w:br/>
      </w:r>
      <w:r>
        <w:rPr>
          <w:rFonts w:ascii="Arial-BoldMT" w:hAnsi="Arial-BoldMT" w:cs="Arial-BoldMT" w:eastAsia="Arial-BoldMT"/>
          <w:b w:val="true"/>
          <w:sz w:val="20"/>
        </w:rPr>
        <w:t xml:space="preserve">19.  </w:t>
      </w:r>
      <w:r>
        <w:rPr>
          <w:rFonts w:ascii="Arial-BoldMT" w:hAnsi="Arial-BoldMT" w:cs="Arial-BoldMT" w:eastAsia="Arial-BoldMT"/>
          <w:sz w:val="20"/>
        </w:rPr>
        <w:t>Study and Analysis of Urdu Elegiac Poets Innovations. Bayat Ali (2012)., Critical Studies in Texts &amp; Programs of Human Sciences, 24(1), 1-14.</w:t>
        <w:br/>
        <w:br/>
      </w:r>
      <w:r>
        <w:rPr>
          <w:rFonts w:ascii="Arial-BoldMT" w:hAnsi="Arial-BoldMT" w:cs="Arial-BoldMT" w:eastAsia="Arial-BoldMT"/>
          <w:b w:val="true"/>
          <w:sz w:val="20"/>
        </w:rPr>
        <w:t xml:space="preserve">20.  </w:t>
      </w:r>
      <w:r>
        <w:rPr>
          <w:rFonts w:ascii="Arial-BoldMT" w:hAnsi="Arial-BoldMT" w:cs="Arial-BoldMT" w:eastAsia="Arial-BoldMT"/>
          <w:sz w:val="20"/>
        </w:rPr>
        <w:t>Critical Analysis and Introduce of Urdu Rhyme Translation of Hafiz sherazies Rubaeiat by Raghvindar rawo Jazb. Bayat Ali (2011)., Almas, -(12), 211-224.</w:t>
        <w:br/>
        <w:br/>
      </w:r>
      <w:r>
        <w:rPr>
          <w:rFonts w:ascii="Arial-BoldMT" w:hAnsi="Arial-BoldMT" w:cs="Arial-BoldMT" w:eastAsia="Arial-BoldMT"/>
          <w:b w:val="true"/>
          <w:sz w:val="20"/>
        </w:rPr>
        <w:t xml:space="preserve">21.  </w:t>
      </w:r>
      <w:r>
        <w:rPr>
          <w:rFonts w:ascii="Arial-BoldMT" w:hAnsi="Arial-BoldMT" w:cs="Arial-BoldMT" w:eastAsia="Arial-BoldMT"/>
          <w:sz w:val="20"/>
        </w:rPr>
        <w:t>Translated dewaan of Hafiz by Qazi Sajjad Hussain. Bayat Ali (2011)., Tkhlyqy Literature, 8(8), 48-59.</w:t>
        <w:br/>
        <w:br/>
      </w:r>
      <w:r>
        <w:rPr>
          <w:rFonts w:ascii="Arial-BoldMT" w:hAnsi="Arial-BoldMT" w:cs="Arial-BoldMT" w:eastAsia="Arial-BoldMT"/>
          <w:b w:val="true"/>
          <w:sz w:val="20"/>
        </w:rPr>
        <w:t xml:space="preserve">22.  </w:t>
      </w:r>
      <w:r>
        <w:rPr>
          <w:rFonts w:ascii="Arial-BoldMT" w:hAnsi="Arial-BoldMT" w:cs="Arial-BoldMT" w:eastAsia="Arial-BoldMT"/>
          <w:sz w:val="20"/>
        </w:rPr>
        <w:t>Tarjuman ul Ghaib Analytical Study. Bayat Ali (2011)., Daryaft, -(10), 32-24.</w:t>
        <w:br/>
        <w:br/>
      </w:r>
      <w:r>
        <w:rPr>
          <w:rFonts w:ascii="Arial-BoldMT" w:hAnsi="Arial-BoldMT" w:cs="Arial-BoldMT" w:eastAsia="Arial-BoldMT"/>
          <w:b w:val="true"/>
          <w:sz w:val="20"/>
        </w:rPr>
        <w:t xml:space="preserve">23.  </w:t>
      </w:r>
      <w:r>
        <w:rPr>
          <w:rFonts w:ascii="Arial-BoldMT" w:hAnsi="Arial-BoldMT" w:cs="Arial-BoldMT" w:eastAsia="Arial-BoldMT"/>
          <w:sz w:val="20"/>
        </w:rPr>
        <w:t>Critical Analysis  of Urdu  Translation of Hafiz Poetry  by Abu Naeim Abdulhakim Khan neshtar Jalindhary. Bayat Ali (2010)., Bazyaft, -(17), 147-161.</w:t>
        <w:br/>
        <w:br/>
      </w:r>
      <w:r>
        <w:rPr>
          <w:rFonts w:ascii="Arial-BoldMT" w:hAnsi="Arial-BoldMT" w:cs="Arial-BoldMT" w:eastAsia="Arial-BoldMT"/>
          <w:b w:val="true"/>
          <w:sz w:val="20"/>
        </w:rPr>
        <w:t xml:space="preserve">24.  </w:t>
      </w:r>
      <w:r>
        <w:rPr>
          <w:rFonts w:ascii="Arial-BoldMT" w:hAnsi="Arial-BoldMT" w:cs="Arial-BoldMT" w:eastAsia="Arial-BoldMT"/>
          <w:sz w:val="20"/>
        </w:rPr>
        <w:t>Inflence of Hafiz in Sub-continent. Bayat Ali (2008).</w:t>
        <w:br/>
        <w:br/>
      </w:r>
      <w:r>
        <w:rPr>
          <w:rFonts w:ascii="Arial-BoldMT" w:hAnsi="Arial-BoldMT" w:cs="Arial-BoldMT" w:eastAsia="Arial-BoldMT"/>
          <w:b w:val="true"/>
          <w:sz w:val="20"/>
        </w:rPr>
        <w:t xml:space="preserve">25.  </w:t>
      </w:r>
      <w:r>
        <w:rPr>
          <w:rFonts w:ascii="Arial-BoldMT" w:hAnsi="Arial-BoldMT" w:cs="Arial-BoldMT" w:eastAsia="Arial-BoldMT"/>
          <w:sz w:val="20"/>
        </w:rPr>
        <w:t>. Bayat Ali (2008)., Danesh Quarterly, -(91), 49-64.</w:t>
        <w:br/>
        <w:br/>
      </w:r>
      <w:r>
        <w:rPr>
          <w:rFonts w:ascii="Arial-BoldMT" w:hAnsi="Arial-BoldMT" w:cs="Arial-BoldMT" w:eastAsia="Arial-BoldMT"/>
          <w:b w:val="true"/>
          <w:sz w:val="20"/>
        </w:rPr>
        <w:t xml:space="preserve">26.  </w:t>
      </w:r>
      <w:r>
        <w:rPr>
          <w:rFonts w:ascii="Arial-BoldMT" w:hAnsi="Arial-BoldMT" w:cs="Arial-BoldMT" w:eastAsia="Arial-BoldMT"/>
          <w:sz w:val="20"/>
        </w:rPr>
        <w:t>. Bayat Ali (2006)., Journal of Foreign Language Research, 10(28), 35-53.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Endless world,Translation of selected poems of Dr.zahid munir Amir. Bayat Ali, شهیدی نسترن, Hamidi Ana (2023).</w:t>
        <w:br/>
        <w:br/>
      </w:r>
      <w:r>
        <w:rPr>
          <w:rFonts w:ascii="Arial-BoldMT" w:hAnsi="Arial-BoldMT" w:cs="Arial-BoldMT" w:eastAsia="Arial-BoldMT"/>
          <w:b w:val="true"/>
          <w:sz w:val="20"/>
        </w:rPr>
        <w:t xml:space="preserve">2.  </w:t>
      </w:r>
      <w:r>
        <w:rPr>
          <w:rFonts w:ascii="Arial-BoldMT" w:hAnsi="Arial-BoldMT" w:cs="Arial-BoldMT" w:eastAsia="Arial-BoldMT"/>
          <w:sz w:val="20"/>
        </w:rPr>
        <w:t>Urdu in to Persian Conversation (A Manual of Self Teaching). Bayat Ali, Kiumarsi Jertode Mohammad (2017).</w:t>
        <w:br/>
        <w:br/>
      </w:r>
      <w:r>
        <w:rPr>
          <w:rFonts w:ascii="Arial-BoldMT" w:hAnsi="Arial-BoldMT" w:cs="Arial-BoldMT" w:eastAsia="Arial-BoldMT"/>
          <w:b w:val="true"/>
          <w:sz w:val="20"/>
        </w:rPr>
        <w:t xml:space="preserve">3.  </w:t>
      </w:r>
      <w:r>
        <w:rPr>
          <w:rFonts w:ascii="Arial-BoldMT" w:hAnsi="Arial-BoldMT" w:cs="Arial-BoldMT" w:eastAsia="Arial-BoldMT"/>
          <w:sz w:val="20"/>
        </w:rPr>
        <w:t>Truth and Wonder, Bedil in the Light of Bergson. Bayat Ali (2017).</w:t>
        <w:br/>
        <w:br/>
      </w:r>
      <w:r>
        <w:rPr>
          <w:rFonts w:ascii="Arial-BoldMT" w:hAnsi="Arial-BoldMT" w:cs="Arial-BoldMT" w:eastAsia="Arial-BoldMT"/>
          <w:b w:val="true"/>
          <w:sz w:val="20"/>
        </w:rPr>
        <w:t xml:space="preserve">4.  </w:t>
      </w:r>
      <w:r>
        <w:rPr>
          <w:rFonts w:ascii="Arial-BoldMT" w:hAnsi="Arial-BoldMT" w:cs="Arial-BoldMT" w:eastAsia="Arial-BoldMT"/>
          <w:sz w:val="20"/>
        </w:rPr>
        <w:t>A Window to the Lost Garden. Bayat Ali (2015).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Review of Themes in Comparative Studies of Iqbal's thoughts in Iran. Bayat Ali (2023)., Iqbal's thoughts in the context of the 21st century and two great poets of the Islamic world: Iqbal and Akif, 27-28 December, Islamabad, Pakistan.</w:t>
        <w:br/>
        <w:br/>
      </w:r>
      <w:r>
        <w:rPr>
          <w:rFonts w:ascii="Arial-BoldMT" w:hAnsi="Arial-BoldMT" w:cs="Arial-BoldMT" w:eastAsia="Arial-BoldMT"/>
          <w:b w:val="true"/>
          <w:sz w:val="20"/>
        </w:rPr>
        <w:t xml:space="preserve">2.  </w:t>
      </w:r>
      <w:r>
        <w:rPr>
          <w:rFonts w:ascii="Arial-BoldMT" w:hAnsi="Arial-BoldMT" w:cs="Arial-BoldMT" w:eastAsia="Arial-BoldMT"/>
          <w:sz w:val="20"/>
        </w:rPr>
        <w:t>Description of Sir Seyed Ahmad Khan in an Elegy by Altaf Hossein Hali. Bayat Ali (2022)., The 7th two-day international conference of Sir Syed Ahmad Khan, 27-28 October, Lahore, Pakistan.</w:t>
        <w:br/>
        <w:br/>
      </w:r>
      <w:r>
        <w:rPr>
          <w:rFonts w:ascii="Arial-BoldMT" w:hAnsi="Arial-BoldMT" w:cs="Arial-BoldMT" w:eastAsia="Arial-BoldMT"/>
          <w:b w:val="true"/>
          <w:sz w:val="20"/>
        </w:rPr>
        <w:t xml:space="preserve">3.  </w:t>
      </w:r>
      <w:r>
        <w:rPr>
          <w:rFonts w:ascii="Arial-BoldMT" w:hAnsi="Arial-BoldMT" w:cs="Arial-BoldMT" w:eastAsia="Arial-BoldMT"/>
          <w:sz w:val="20"/>
        </w:rPr>
        <w:t>Analytical study of the Persian poetry of Akbar ilahabadi. Bayat Ali (2021)., Zareef-e-Hind Akbar Ilahabadi, 30 November, Mumbai, India.</w:t>
        <w:br/>
        <w:br/>
      </w:r>
      <w:r>
        <w:rPr>
          <w:rFonts w:ascii="Arial-BoldMT" w:hAnsi="Arial-BoldMT" w:cs="Arial-BoldMT" w:eastAsia="Arial-BoldMT"/>
          <w:b w:val="true"/>
          <w:sz w:val="20"/>
        </w:rPr>
        <w:t xml:space="preserve">4.  </w:t>
      </w:r>
      <w:r>
        <w:rPr>
          <w:rFonts w:ascii="Arial-BoldMT" w:hAnsi="Arial-BoldMT" w:cs="Arial-BoldMT" w:eastAsia="Arial-BoldMT"/>
          <w:sz w:val="20"/>
        </w:rPr>
        <w:t>Mention of Iran and Iranian cities in Urdu and Persian poetry of Allama Iqbal. Bayat Ali (2021)., Two-Day International Conference: Need and Usefulness of Iqbal's Thought in Contemporary Times, 17-18 November, Lahore, Pakistan.</w:t>
        <w:br/>
        <w:br/>
      </w:r>
      <w:r>
        <w:rPr>
          <w:rFonts w:ascii="Arial-BoldMT" w:hAnsi="Arial-BoldMT" w:cs="Arial-BoldMT" w:eastAsia="Arial-BoldMT"/>
          <w:b w:val="true"/>
          <w:sz w:val="20"/>
        </w:rPr>
        <w:t xml:space="preserve">5.  </w:t>
      </w:r>
      <w:r>
        <w:rPr>
          <w:rFonts w:ascii="Arial-BoldMT" w:hAnsi="Arial-BoldMT" w:cs="Arial-BoldMT" w:eastAsia="Arial-BoldMT"/>
          <w:sz w:val="20"/>
        </w:rPr>
        <w:t>Iranian intellectuals and Study of Iqbal New generation of. Bayat Ali (2019)., Iqbal’s Intellectual and Artistic Universality, 24-25 April, Islamabad, Pakistan.</w:t>
        <w:br/>
        <w:br/>
      </w:r>
      <w:r>
        <w:rPr>
          <w:rFonts w:ascii="Arial-BoldMT" w:hAnsi="Arial-BoldMT" w:cs="Arial-BoldMT" w:eastAsia="Arial-BoldMT"/>
          <w:b w:val="true"/>
          <w:sz w:val="20"/>
        </w:rPr>
        <w:t xml:space="preserve">6.  </w:t>
      </w:r>
      <w:r>
        <w:rPr>
          <w:rFonts w:ascii="Arial-BoldMT" w:hAnsi="Arial-BoldMT" w:cs="Arial-BoldMT" w:eastAsia="Arial-BoldMT"/>
          <w:sz w:val="20"/>
        </w:rPr>
        <w:t>The first important Iqbalists in Iran. Bayat Ali (2019)., Allama Iqbal International Conference, 23 April, Lahore, Pakistan.</w:t>
        <w:br/>
        <w:br/>
      </w:r>
      <w:r>
        <w:rPr>
          <w:rFonts w:ascii="Arial-BoldMT" w:hAnsi="Arial-BoldMT" w:cs="Arial-BoldMT" w:eastAsia="Arial-BoldMT"/>
          <w:b w:val="true"/>
          <w:sz w:val="20"/>
        </w:rPr>
        <w:t xml:space="preserve">7.  </w:t>
      </w:r>
      <w:r>
        <w:rPr>
          <w:rFonts w:ascii="Arial-BoldMT" w:hAnsi="Arial-BoldMT" w:cs="Arial-BoldMT" w:eastAsia="Arial-BoldMT"/>
          <w:sz w:val="20"/>
        </w:rPr>
        <w:t>Persian cultural elements in Urdu literature. Bayat Ali (2019)., The Protection and Promotion of Urdu Language in the Global Context of Today, 16-21 March, New Delhi, India.</w:t>
        <w:br/>
        <w:br/>
      </w:r>
      <w:r>
        <w:rPr>
          <w:rFonts w:ascii="Arial-BoldMT" w:hAnsi="Arial-BoldMT" w:cs="Arial-BoldMT" w:eastAsia="Arial-BoldMT"/>
          <w:b w:val="true"/>
          <w:sz w:val="20"/>
        </w:rPr>
        <w:t xml:space="preserve">8.  </w:t>
      </w:r>
      <w:r>
        <w:rPr>
          <w:rFonts w:ascii="Arial-BoldMT" w:hAnsi="Arial-BoldMT" w:cs="Arial-BoldMT" w:eastAsia="Arial-BoldMT"/>
          <w:sz w:val="20"/>
        </w:rPr>
        <w:t>A Study in Common Turkish Vocabulary in Urdu and Persian. Bayat Ali (2018)., Classicism Modernism, and  Contemporary Literary Trends, 14-15 November, Lahore, Pakistan.</w:t>
        <w:br/>
        <w:br/>
      </w:r>
      <w:r>
        <w:rPr>
          <w:rFonts w:ascii="Arial-BoldMT" w:hAnsi="Arial-BoldMT" w:cs="Arial-BoldMT" w:eastAsia="Arial-BoldMT"/>
          <w:b w:val="true"/>
          <w:sz w:val="20"/>
        </w:rPr>
        <w:t xml:space="preserve">9.  </w:t>
      </w:r>
      <w:r>
        <w:rPr>
          <w:rFonts w:ascii="Arial-BoldMT" w:hAnsi="Arial-BoldMT" w:cs="Arial-BoldMT" w:eastAsia="Arial-BoldMT"/>
          <w:sz w:val="20"/>
        </w:rPr>
        <w:t>A comparative study of the structure of Thesis  in Persian and Urdu in Iran and Pakistan. Bayat Ali (2018)., Trends in Urdu Research and Criticism Contemporary and Global Perspective, 26-27 April, Islamabad, Pakistan.</w:t>
        <w:br/>
        <w:br/>
      </w:r>
      <w:r>
        <w:rPr>
          <w:rFonts w:ascii="Arial-BoldMT" w:hAnsi="Arial-BoldMT" w:cs="Arial-BoldMT" w:eastAsia="Arial-BoldMT"/>
          <w:b w:val="true"/>
          <w:sz w:val="20"/>
        </w:rPr>
        <w:t xml:space="preserve">10.  </w:t>
      </w:r>
      <w:r>
        <w:rPr>
          <w:rFonts w:ascii="Arial-BoldMT" w:hAnsi="Arial-BoldMT" w:cs="Arial-BoldMT" w:eastAsia="Arial-BoldMT"/>
          <w:sz w:val="20"/>
        </w:rPr>
        <w:t>A Study Of  the ideas of some early introduction of Allama Iqbal in Iran. Bayat Ali (2017)., the First Allama Iqbal International Conference:, 7-8 November, Lahore, Pakistan.</w:t>
        <w:br/>
        <w:br/>
      </w:r>
      <w:r>
        <w:rPr>
          <w:rFonts w:ascii="Arial-BoldMT" w:hAnsi="Arial-BoldMT" w:cs="Arial-BoldMT" w:eastAsia="Arial-BoldMT"/>
          <w:b w:val="true"/>
          <w:sz w:val="20"/>
        </w:rPr>
        <w:t xml:space="preserve">11.  </w:t>
      </w:r>
      <w:r>
        <w:rPr>
          <w:rFonts w:ascii="Arial-BoldMT" w:hAnsi="Arial-BoldMT" w:cs="Arial-BoldMT" w:eastAsia="Arial-BoldMT"/>
          <w:sz w:val="20"/>
        </w:rPr>
        <w:t>Farsi to Urdu Translation Problems. Bayat Ali (2017)., Translation: A Scholarly Dialogue Among Civilizations, 18-19 August, Islamabad, Pakistan.</w:t>
        <w:br/>
        <w:br/>
      </w:r>
      <w:r>
        <w:rPr>
          <w:rFonts w:ascii="Arial-BoldMT" w:hAnsi="Arial-BoldMT" w:cs="Arial-BoldMT" w:eastAsia="Arial-BoldMT"/>
          <w:b w:val="true"/>
          <w:sz w:val="20"/>
        </w:rPr>
        <w:t xml:space="preserve">12.  </w:t>
      </w:r>
      <w:r>
        <w:rPr>
          <w:rFonts w:ascii="Arial-BoldMT" w:hAnsi="Arial-BoldMT" w:cs="Arial-BoldMT" w:eastAsia="Arial-BoldMT"/>
          <w:sz w:val="20"/>
        </w:rPr>
        <w:t>Learning urdu Language in University of Tehran. Bayat Ali (2015)., International Symposium 100th Anniversary of Urdu Language Education In Turkey Ottoman Relations with the India-Pakistan Sub-continent Muslims from Tripoli War to Republic of Turkey and Urdu in Turkey, 12-14 October, İSTANBUL, Turky.</w:t>
        <w:br/>
        <w:br/>
      </w:r>
      <w:r>
        <w:rPr>
          <w:rFonts w:ascii="Arial-BoldMT" w:hAnsi="Arial-BoldMT" w:cs="Arial-BoldMT" w:eastAsia="Arial-BoldMT"/>
          <w:b w:val="true"/>
          <w:sz w:val="20"/>
        </w:rPr>
        <w:t xml:space="preserve">13.  </w:t>
      </w:r>
      <w:r>
        <w:rPr>
          <w:rFonts w:ascii="Arial-BoldMT" w:hAnsi="Arial-BoldMT" w:cs="Arial-BoldMT" w:eastAsia="Arial-BoldMT"/>
          <w:sz w:val="20"/>
        </w:rPr>
        <w:t>A Study of Necessity of Translation from Urdu to Persian. Bayat Ali (2014)., A Three Day World Conference on: Socio-Cultural Development of Urdu in 21st Century, 30 October-1 November, New Delhi, India.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Teaching Verse Texts  2</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General Linguistics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Urdu non-fiction literature</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General Linguistics</w:t>
        <w:br/>
        <w:br/>
      </w:r>
      <w:r>
        <w:rPr>
          <w:rFonts w:ascii="Arial-BoldMT" w:hAnsi="Arial-BoldMT" w:cs="Arial-BoldMT" w:eastAsia="Arial-BoldMT"/>
          <w:b w:val="true"/>
          <w:sz w:val="20"/>
        </w:rPr>
        <w:t>Introduction to Inscriptions  and manuscripts in the subcontinent</w:t>
        <w:br/>
        <w:br/>
      </w:r>
      <w:r>
        <w:rPr>
          <w:rFonts w:ascii="Arial-BoldMT" w:hAnsi="Arial-BoldMT" w:cs="Arial-BoldMT" w:eastAsia="Arial-BoldMT"/>
          <w:b w:val="true"/>
          <w:sz w:val="20"/>
        </w:rPr>
        <w:t>Urdu non-fiction literature</w:t>
        <w:br/>
        <w:br/>
      </w:r>
      <w:r>
        <w:rPr>
          <w:rFonts w:ascii="Arial-BoldMT" w:hAnsi="Arial-BoldMT" w:cs="Arial-BoldMT" w:eastAsia="Arial-BoldMT"/>
          <w:b w:val="true"/>
          <w:sz w:val="20"/>
        </w:rPr>
        <w:t>Versified Literature 2</w:t>
        <w:br/>
        <w:br/>
      </w:r>
      <w:r>
        <w:rPr>
          <w:rFonts w:ascii="Arial-BoldMT" w:hAnsi="Arial-BoldMT" w:cs="Arial-BoldMT" w:eastAsia="Arial-BoldMT"/>
          <w:b w:val="true"/>
          <w:sz w:val="20"/>
        </w:rPr>
        <w:t>Iqbal Studies</w:t>
        <w:br/>
        <w:br/>
      </w:r>
      <w:r>
        <w:rPr>
          <w:rFonts w:ascii="Arial-BoldMT" w:hAnsi="Arial-BoldMT" w:cs="Arial-BoldMT" w:eastAsia="Arial-BoldMT"/>
          <w:b w:val="true"/>
          <w:sz w:val="20"/>
        </w:rPr>
        <w:t>Literary Prose</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Versified Literature 2</w:t>
        <w:br/>
        <w:br/>
      </w:r>
      <w:r>
        <w:rPr>
          <w:rFonts w:ascii="Arial-BoldMT" w:hAnsi="Arial-BoldMT" w:cs="Arial-BoldMT" w:eastAsia="Arial-BoldMT"/>
          <w:b w:val="true"/>
          <w:sz w:val="20"/>
        </w:rPr>
        <w:t>Literary Prose</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Literary Prose</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Research Methodology</w:t>
        <w:br/>
        <w:br/>
      </w:r>
      <w:r>
        <w:rPr>
          <w:rFonts w:ascii="Arial-BoldMT" w:hAnsi="Arial-BoldMT" w:cs="Arial-BoldMT" w:eastAsia="Arial-BoldMT"/>
          <w:b w:val="true"/>
          <w:sz w:val="20"/>
        </w:rPr>
        <w:t>Teaching Verse Texts  1</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Versified Literature 2</w:t>
        <w:br/>
        <w:br/>
      </w:r>
      <w:r>
        <w:rPr>
          <w:rFonts w:ascii="Arial-BoldMT" w:hAnsi="Arial-BoldMT" w:cs="Arial-BoldMT" w:eastAsia="Arial-BoldMT"/>
          <w:b w:val="true"/>
          <w:sz w:val="20"/>
        </w:rPr>
        <w:t>Literary Prose</w:t>
        <w:br/>
        <w:br/>
      </w:r>
      <w:r>
        <w:rPr>
          <w:rFonts w:ascii="Arial-BoldMT" w:hAnsi="Arial-BoldMT" w:cs="Arial-BoldMT" w:eastAsia="Arial-BoldMT"/>
          <w:b w:val="true"/>
          <w:sz w:val="20"/>
        </w:rPr>
        <w:t>Versified Literature 1</w:t>
        <w:br/>
        <w:br/>
      </w:r>
      <w:r>
        <w:rPr>
          <w:rFonts w:ascii="Arial-BoldMT" w:hAnsi="Arial-BoldMT" w:cs="Arial-BoldMT" w:eastAsia="Arial-BoldMT"/>
          <w:b w:val="true"/>
          <w:sz w:val="20"/>
        </w:rPr>
        <w:t>Iqbal Studies</w:t>
        <w:br/>
        <w:br/>
      </w:r>
      <w:r>
        <w:rPr>
          <w:rFonts w:ascii="Arial-BoldMT" w:hAnsi="Arial-BoldMT" w:cs="Arial-BoldMT" w:eastAsia="Arial-BoldMT"/>
          <w:b w:val="true"/>
          <w:sz w:val="20"/>
        </w:rPr>
        <w:t>Teaching Verse Texts  2</w:t>
        <w:br/>
        <w:br/>
      </w:r>
      <w:r>
        <w:rPr>
          <w:rFonts w:ascii="Arial-BoldMT" w:hAnsi="Arial-BoldMT" w:cs="Arial-BoldMT" w:eastAsia="Arial-BoldMT"/>
          <w:b w:val="true"/>
          <w:sz w:val="20"/>
        </w:rPr>
        <w:t>Versified Literature 2</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Bayat</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