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Mahdi Taleb</w:t>
      </w:r>
      <w:r w:rsidR="004F4CD2">
        <w:t xml:space="preserve">, </w:t>
      </w:r>
      <w:r w:rsidR="00D9469D">
        <w:t>B.Sc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Social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taleb@ut.ac.ir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B.Sc In </w:t>
        <w:br/>
      </w:r>
      <w:r>
        <w:rPr>
          <w:rFonts w:ascii="ArialMT" w:hAnsi="ArialMT" w:cs="ArialMT" w:eastAsia="ArialMT"/>
          <w:sz w:val="20"/>
        </w:rPr>
        <w:t/>
      </w:r>
      <w:r>
        <w:tab/>
        <w:tab/>
        <w:t>null-yesr-char-1968</w:t>
        <w:br/>
      </w:r>
      <w:r>
        <w:rPr>
          <w:rFonts w:ascii="Arial-BoldMT" w:hAnsi="Arial-BoldMT" w:cs="Arial-BoldMT" w:eastAsia="Arial-BoldMT"/>
          <w:b w:val="true"/>
          <w:sz w:val="20"/>
        </w:rPr>
        <w:t xml:space="preserve">M.Sc In </w:t>
        <w:br/>
      </w:r>
      <w:r>
        <w:rPr>
          <w:rFonts w:ascii="ArialMT" w:hAnsi="ArialMT" w:cs="ArialMT" w:eastAsia="ArialMT"/>
          <w:sz w:val="20"/>
        </w:rPr>
        <w:t/>
      </w:r>
      <w:r>
        <w:tab/>
        <w:tab/>
        <w:t>null-yesr-char-1976</w:t>
        <w:br/>
      </w:r>
      <w:r>
        <w:rPr>
          <w:rFonts w:ascii="Arial-BoldMT" w:hAnsi="Arial-BoldMT" w:cs="Arial-BoldMT" w:eastAsia="Arial-BoldMT"/>
          <w:b w:val="true"/>
          <w:sz w:val="20"/>
        </w:rPr>
        <w:t xml:space="preserve">Ph.D In </w:t>
        <w:br/>
      </w:r>
      <w:r>
        <w:rPr>
          <w:rFonts w:ascii="ArialMT" w:hAnsi="ArialMT" w:cs="ArialMT" w:eastAsia="ArialMT"/>
          <w:sz w:val="20"/>
        </w:rPr>
        <w:t/>
      </w:r>
      <w:r>
        <w:tab/>
        <w:tab/>
        <w:t>null-yesr-char-1978</w:t>
        <w:br/>
      </w:r>
      <w:r>
        <w:rPr>
          <w:rFonts w:ascii="Arial-BoldMT" w:hAnsi="Arial-BoldMT" w:cs="Arial-BoldMT" w:eastAsia="Arial-BoldMT"/>
          <w:b w:val="true"/>
          <w:sz w:val="20"/>
        </w:rPr>
        <w:t xml:space="preserve">B.Sc In </w:t>
        <w:br/>
      </w:r>
      <w:r>
        <w:rPr>
          <w:rFonts w:ascii="ArialMT" w:hAnsi="ArialMT" w:cs="ArialMT" w:eastAsia="ArialMT"/>
          <w:sz w:val="20"/>
        </w:rPr>
        <w:t/>
      </w:r>
      <w:r>
        <w:tab/>
        <w:tab/>
        <w:t>null-yesr-char-null-yesr-char</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Social Dimension of Centralized Rural Management From Constitutional Revolution to Land Reform. سلمانوندی شاپور, Imani Jajarmi Hossein, Taleb Mahdi (2019)., Iranian Journal of Social Studies, دوازدهم(1).</w:t>
        <w:br/>
        <w:br/>
      </w:r>
      <w:r>
        <w:rPr>
          <w:rFonts w:ascii="Arial-BoldMT" w:hAnsi="Arial-BoldMT" w:cs="Arial-BoldMT" w:eastAsia="Arial-BoldMT"/>
          <w:b w:val="true"/>
          <w:sz w:val="20"/>
        </w:rPr>
        <w:t xml:space="preserve">2.  </w:t>
      </w:r>
      <w:r>
        <w:rPr>
          <w:rFonts w:ascii="Arial-BoldMT" w:hAnsi="Arial-BoldMT" w:cs="Arial-BoldMT" w:eastAsia="Arial-BoldMT"/>
          <w:sz w:val="20"/>
        </w:rPr>
        <w:t>XML 	Evaluation of effective factors in the failure of combining plans in rural regions (Case study: Sharm town, Kermanshah province. Taleb Mahdi, Mirzaei Hossein, Naderi Afwat (2017)., Journal of Housing and Rural Environment, 36(157), 117-130.</w:t>
        <w:br/>
        <w:br/>
      </w:r>
      <w:r>
        <w:rPr>
          <w:rFonts w:ascii="Arial-BoldMT" w:hAnsi="Arial-BoldMT" w:cs="Arial-BoldMT" w:eastAsia="Arial-BoldMT"/>
          <w:b w:val="true"/>
          <w:sz w:val="20"/>
        </w:rPr>
        <w:t xml:space="preserve">3.  </w:t>
      </w:r>
      <w:r>
        <w:rPr>
          <w:rFonts w:ascii="Arial-BoldMT" w:hAnsi="Arial-BoldMT" w:cs="Arial-BoldMT" w:eastAsia="Arial-BoldMT"/>
          <w:sz w:val="20"/>
        </w:rPr>
        <w:t>The Qualitative Study of the sociocultural factors affecting collective conflicts :case study The city of Iseh. Taleb Mahdi, Najafiasl Zohreh, Ahmadi Avendy Zvlfaghar (2017)., Journal of Social Development (formerly Human Development), 11(4).</w:t>
        <w:br/>
        <w:br/>
      </w:r>
      <w:r>
        <w:rPr>
          <w:rFonts w:ascii="Arial-BoldMT" w:hAnsi="Arial-BoldMT" w:cs="Arial-BoldMT" w:eastAsia="Arial-BoldMT"/>
          <w:b w:val="true"/>
          <w:sz w:val="20"/>
        </w:rPr>
        <w:t xml:space="preserve">4.  </w:t>
      </w:r>
      <w:r>
        <w:rPr>
          <w:rFonts w:ascii="Arial-BoldMT" w:hAnsi="Arial-BoldMT" w:cs="Arial-BoldMT" w:eastAsia="Arial-BoldMT"/>
          <w:sz w:val="20"/>
        </w:rPr>
        <w:t>Barriers to rural girls' education in rural (qualitative reaserch). Farzizadeh Zahra, Taleb Mahdi, Motevaseli Mahmoud (2017)., talim, 129(129).</w:t>
        <w:br/>
        <w:br/>
      </w:r>
      <w:r>
        <w:rPr>
          <w:rFonts w:ascii="Arial-BoldMT" w:hAnsi="Arial-BoldMT" w:cs="Arial-BoldMT" w:eastAsia="Arial-BoldMT"/>
          <w:b w:val="true"/>
          <w:sz w:val="20"/>
        </w:rPr>
        <w:t xml:space="preserve">5.  </w:t>
      </w:r>
      <w:r>
        <w:rPr>
          <w:rFonts w:ascii="Arial-BoldMT" w:hAnsi="Arial-BoldMT" w:cs="Arial-BoldMT" w:eastAsia="Arial-BoldMT"/>
          <w:sz w:val="20"/>
        </w:rPr>
        <w:t>Studying the Development of Village Affairs from Management to Dispersion During the Period Before the Iranian Revolution. Taleb Mahdi, Imani Jajarmi Hossein, Salmanvandi Shapour (2017)., Journal Of Rural Development, 7(2), 199-220.</w:t>
        <w:br/>
        <w:br/>
      </w:r>
      <w:r>
        <w:rPr>
          <w:rFonts w:ascii="Arial-BoldMT" w:hAnsi="Arial-BoldMT" w:cs="Arial-BoldMT" w:eastAsia="Arial-BoldMT"/>
          <w:b w:val="true"/>
          <w:sz w:val="20"/>
        </w:rPr>
        <w:t xml:space="preserve">6.  </w:t>
      </w:r>
      <w:r>
        <w:rPr>
          <w:rFonts w:ascii="Arial-BoldMT" w:hAnsi="Arial-BoldMT" w:cs="Arial-BoldMT" w:eastAsia="Arial-BoldMT"/>
          <w:sz w:val="20"/>
        </w:rPr>
        <w:t>The pathology of chenges in the consumption pattern:consumerism as a new phenomenon in iranian rural communities. Najafiasl Zohreh, Taleb Mahdi (2016)., Iranian Journal Of Social Problems, 7(1).</w:t>
        <w:br/>
        <w:br/>
      </w:r>
      <w:r>
        <w:rPr>
          <w:rFonts w:ascii="Arial-BoldMT" w:hAnsi="Arial-BoldMT" w:cs="Arial-BoldMT" w:eastAsia="Arial-BoldMT"/>
          <w:b w:val="true"/>
          <w:sz w:val="20"/>
        </w:rPr>
        <w:t xml:space="preserve">7.  </w:t>
      </w:r>
      <w:r>
        <w:rPr>
          <w:rFonts w:ascii="Arial-BoldMT" w:hAnsi="Arial-BoldMT" w:cs="Arial-BoldMT" w:eastAsia="Arial-BoldMT"/>
          <w:sz w:val="20"/>
        </w:rPr>
        <w:t>Boundary market and rural areas: Investigating the role of villagers in the boundary market of BANE. امیرپناهی محمد, Taleb Mahdi, Mirzaei Hossein (2015)., journal of Rural Research, 6(3).</w:t>
        <w:br/>
        <w:br/>
      </w:r>
      <w:r>
        <w:rPr>
          <w:rFonts w:ascii="Arial-BoldMT" w:hAnsi="Arial-BoldMT" w:cs="Arial-BoldMT" w:eastAsia="Arial-BoldMT"/>
          <w:b w:val="true"/>
          <w:sz w:val="20"/>
        </w:rPr>
        <w:t xml:space="preserve">8.  </w:t>
      </w:r>
      <w:r>
        <w:rPr>
          <w:rFonts w:ascii="Arial-BoldMT" w:hAnsi="Arial-BoldMT" w:cs="Arial-BoldMT" w:eastAsia="Arial-BoldMT"/>
          <w:sz w:val="20"/>
        </w:rPr>
        <w:t>Exploratory analysis of the social - economic dimensions quality of life of rural staff aquaculture units. Taleb Mahdi, Souri Farshad, Tajbakhsh Gholamreza, Yousefvand Saman (2015)., spatial planing, 4(1), 65-80.</w:t>
        <w:br/>
        <w:br/>
      </w:r>
      <w:r>
        <w:rPr>
          <w:rFonts w:ascii="Arial-BoldMT" w:hAnsi="Arial-BoldMT" w:cs="Arial-BoldMT" w:eastAsia="Arial-BoldMT"/>
          <w:b w:val="true"/>
          <w:sz w:val="20"/>
        </w:rPr>
        <w:t xml:space="preserve">9.  </w:t>
      </w:r>
      <w:r>
        <w:rPr>
          <w:rFonts w:ascii="Arial-BoldMT" w:hAnsi="Arial-BoldMT" w:cs="Arial-BoldMT" w:eastAsia="Arial-BoldMT"/>
          <w:sz w:val="20"/>
        </w:rPr>
        <w:t>Understanding the Causes of Agreement or Disagreement of Farmers to participate in Land Consolidation Projects, Case Study: Some Villages of Bukan City. Mirzaei Hossein, Taleb Mahdi, Kakeh Pour Mohamad (2015)., Human Geography Research Quarterly, 47(2), 337-349.</w:t>
        <w:br/>
        <w:br/>
      </w:r>
      <w:r>
        <w:rPr>
          <w:rFonts w:ascii="Arial-BoldMT" w:hAnsi="Arial-BoldMT" w:cs="Arial-BoldMT" w:eastAsia="Arial-BoldMT"/>
          <w:b w:val="true"/>
          <w:sz w:val="20"/>
        </w:rPr>
        <w:t xml:space="preserve">10.  </w:t>
      </w:r>
      <w:r>
        <w:rPr>
          <w:rFonts w:ascii="Arial-BoldMT" w:hAnsi="Arial-BoldMT" w:cs="Arial-BoldMT" w:eastAsia="Arial-BoldMT"/>
          <w:sz w:val="20"/>
        </w:rPr>
        <w:t>A Sociological Study of Empowerment (Economic and Social), native understanding, factors affecting its growth and obstacles in rural woman society. Farzizadeh Zahra, Motevaseli Mahmoud, Taleb Mahdi (2013)., Journal Of Rural Development, 5(1).</w:t>
        <w:br/>
        <w:br/>
      </w:r>
      <w:r>
        <w:rPr>
          <w:rFonts w:ascii="Arial-BoldMT" w:hAnsi="Arial-BoldMT" w:cs="Arial-BoldMT" w:eastAsia="Arial-BoldMT"/>
          <w:b w:val="true"/>
          <w:sz w:val="20"/>
        </w:rPr>
        <w:t xml:space="preserve">11.  </w:t>
      </w:r>
      <w:r>
        <w:rPr>
          <w:rFonts w:ascii="Arial-BoldMT" w:hAnsi="Arial-BoldMT" w:cs="Arial-BoldMT" w:eastAsia="Arial-BoldMT"/>
          <w:sz w:val="20"/>
        </w:rPr>
        <w:t>the research of effective factors on changing in the family in 3 different generations from 50 years ago. Najafiasl Zohreh, Taleb Mahdi (2013)., Journal Of Rural Development, 5(1).</w:t>
        <w:br/>
        <w:br/>
      </w:r>
      <w:r>
        <w:rPr>
          <w:rFonts w:ascii="Arial-BoldMT" w:hAnsi="Arial-BoldMT" w:cs="Arial-BoldMT" w:eastAsia="Arial-BoldMT"/>
          <w:b w:val="true"/>
          <w:sz w:val="20"/>
        </w:rPr>
        <w:t xml:space="preserve">12.  </w:t>
      </w:r>
      <w:r>
        <w:rPr>
          <w:rFonts w:ascii="Arial-BoldMT" w:hAnsi="Arial-BoldMT" w:cs="Arial-BoldMT" w:eastAsia="Arial-BoldMT"/>
          <w:sz w:val="20"/>
        </w:rPr>
        <w:t>The Relationship between Local Sub-culture and Participatory Development: An Assessment (Case study: Villages around the Kahman region, Selseleh). Taleb Mahdi, Yousefvand Saman (2013)., journal of Rural Research, چهار(یک), 101-136.</w:t>
        <w:br/>
        <w:br/>
      </w:r>
      <w:r>
        <w:rPr>
          <w:rFonts w:ascii="Arial-BoldMT" w:hAnsi="Arial-BoldMT" w:cs="Arial-BoldMT" w:eastAsia="Arial-BoldMT"/>
          <w:b w:val="true"/>
          <w:sz w:val="20"/>
        </w:rPr>
        <w:t xml:space="preserve">13.  </w:t>
      </w:r>
      <w:r>
        <w:rPr>
          <w:rFonts w:ascii="Arial-BoldMT" w:hAnsi="Arial-BoldMT" w:cs="Arial-BoldMT" w:eastAsia="Arial-BoldMT"/>
          <w:sz w:val="20"/>
        </w:rPr>
        <w:t>Rural governance and rural cooperatives in Iran. Taleb Mahdi, بخشی زاده حسن (2013)., Journal Of Rural Development, چهارم(شماره دوم (پیاپی 7)), 25-46.</w:t>
        <w:br/>
        <w:br/>
      </w:r>
      <w:r>
        <w:rPr>
          <w:rFonts w:ascii="Arial-BoldMT" w:hAnsi="Arial-BoldMT" w:cs="Arial-BoldMT" w:eastAsia="Arial-BoldMT"/>
          <w:b w:val="true"/>
          <w:sz w:val="20"/>
        </w:rPr>
        <w:t xml:space="preserve">14.  </w:t>
      </w:r>
      <w:r>
        <w:rPr>
          <w:rFonts w:ascii="Arial-BoldMT" w:hAnsi="Arial-BoldMT" w:cs="Arial-BoldMT" w:eastAsia="Arial-BoldMT"/>
          <w:sz w:val="20"/>
        </w:rPr>
        <w:t>Evaluation of the role of public participation in rural development projects (Case study: combining plans in rural areas). Taleb Mahdi, Mirzaei Hossein,  عفوات نادری (2012)., Journal Of Rural Development, 4(1), 18-1.</w:t>
        <w:br/>
        <w:br/>
      </w:r>
      <w:r>
        <w:rPr>
          <w:rFonts w:ascii="Arial-BoldMT" w:hAnsi="Arial-BoldMT" w:cs="Arial-BoldMT" w:eastAsia="Arial-BoldMT"/>
          <w:b w:val="true"/>
          <w:sz w:val="20"/>
        </w:rPr>
        <w:t xml:space="preserve">15.  </w:t>
      </w:r>
      <w:r>
        <w:rPr>
          <w:rFonts w:ascii="Arial-BoldMT" w:hAnsi="Arial-BoldMT" w:cs="Arial-BoldMT" w:eastAsia="Arial-BoldMT"/>
          <w:sz w:val="20"/>
        </w:rPr>
        <w:t>Analyzing the Human and Technical Factors that Affect the Level of Intensive Cultivation in the Household Farming System (Case study: the Household Farming of Kermanshah). Taleb Mahdi,  محسن ابراهیم پور,  شاپور سلمان وندی (2012)., journal of Rural Research, 3(1), 147-176.</w:t>
        <w:br/>
        <w:br/>
      </w:r>
      <w:r>
        <w:rPr>
          <w:rFonts w:ascii="Arial-BoldMT" w:hAnsi="Arial-BoldMT" w:cs="Arial-BoldMT" w:eastAsia="Arial-BoldMT"/>
          <w:b w:val="true"/>
          <w:sz w:val="20"/>
        </w:rPr>
        <w:t xml:space="preserve">16.  </w:t>
      </w:r>
      <w:r>
        <w:rPr>
          <w:rFonts w:ascii="Arial-BoldMT" w:hAnsi="Arial-BoldMT" w:cs="Arial-BoldMT" w:eastAsia="Arial-BoldMT"/>
          <w:sz w:val="20"/>
        </w:rPr>
        <w:t>Rethinking the Selseleh regional plan. Taleb Mahdi,  عبدالمنان حقیقی مقدم (2012)., Journal Of Rural Development, 3(2), 29-50.</w:t>
        <w:br/>
        <w:br/>
      </w:r>
      <w:r>
        <w:rPr>
          <w:rFonts w:ascii="Arial-BoldMT" w:hAnsi="Arial-BoldMT" w:cs="Arial-BoldMT" w:eastAsia="Arial-BoldMT"/>
          <w:b w:val="true"/>
          <w:sz w:val="20"/>
        </w:rPr>
        <w:t xml:space="preserve">17.  </w:t>
      </w:r>
      <w:r>
        <w:rPr>
          <w:rFonts w:ascii="Arial-BoldMT" w:hAnsi="Arial-BoldMT" w:cs="Arial-BoldMT" w:eastAsia="Arial-BoldMT"/>
          <w:sz w:val="20"/>
        </w:rPr>
        <w:t>. Taleb Mahdi, Imani Jajarmi Hossein, Firouzabadi Seyed Ahmad,  علیرضا صادقی (2011)., Sociology Journal of Art and Literature, -(38), 167-192.</w:t>
        <w:br/>
        <w:br/>
      </w:r>
      <w:r>
        <w:rPr>
          <w:rFonts w:ascii="Arial-BoldMT" w:hAnsi="Arial-BoldMT" w:cs="Arial-BoldMT" w:eastAsia="Arial-BoldMT"/>
          <w:b w:val="true"/>
          <w:sz w:val="20"/>
        </w:rPr>
        <w:t xml:space="preserve">18.  </w:t>
      </w:r>
      <w:r>
        <w:rPr>
          <w:rFonts w:ascii="Arial-BoldMT" w:hAnsi="Arial-BoldMT" w:cs="Arial-BoldMT" w:eastAsia="Arial-BoldMT"/>
          <w:sz w:val="20"/>
        </w:rPr>
        <w:t>. Taleb Mahdi, Firouzabadi Seyed Ahmad,  صدیقه پیری (2011)., Women in Development &amp; Politics, 9(2), 143-162.</w:t>
        <w:br/>
        <w:br/>
      </w:r>
      <w:r>
        <w:rPr>
          <w:rFonts w:ascii="Arial-BoldMT" w:hAnsi="Arial-BoldMT" w:cs="Arial-BoldMT" w:eastAsia="Arial-BoldMT"/>
          <w:b w:val="true"/>
          <w:sz w:val="20"/>
        </w:rPr>
        <w:t xml:space="preserve">19.  </w:t>
      </w:r>
      <w:r>
        <w:rPr>
          <w:rFonts w:ascii="Arial-BoldMT" w:hAnsi="Arial-BoldMT" w:cs="Arial-BoldMT" w:eastAsia="Arial-BoldMT"/>
          <w:sz w:val="20"/>
        </w:rPr>
        <w:t>Factors influencing attitude among the Villagers to Participate in Rural Cooperatives A Case Study of Rural Cooperatives of Koushk Hezar Beyza Village Fars Iran. Taleb Mahdi, Firouzabadi Seyed Ahmad,  Seyed Rasoul Hosseini (2011)., European Journal of Social Sciences, 21(3), 427-435.</w:t>
        <w:br/>
        <w:br/>
      </w:r>
      <w:r>
        <w:rPr>
          <w:rFonts w:ascii="Arial-BoldMT" w:hAnsi="Arial-BoldMT" w:cs="Arial-BoldMT" w:eastAsia="Arial-BoldMT"/>
          <w:b w:val="true"/>
          <w:sz w:val="20"/>
        </w:rPr>
        <w:t xml:space="preserve">20.  </w:t>
      </w:r>
      <w:r>
        <w:rPr>
          <w:rFonts w:ascii="Arial-BoldMT" w:hAnsi="Arial-BoldMT" w:cs="Arial-BoldMT" w:eastAsia="Arial-BoldMT"/>
          <w:sz w:val="20"/>
        </w:rPr>
        <w:t>Interactive Rural Tourism Planning With Approach Participatory Rural Appraisal, Case Study: Vakilabad "Sardabeh" In Ardabil. Taleb Mahdi, Mirzaei Hossein, Bakhshizadeh Hasan (2010)., Human Geography Research Quarterly, 1(71), 34-19.</w:t>
        <w:br/>
        <w:br/>
      </w:r>
      <w:r>
        <w:rPr>
          <w:rFonts w:ascii="Arial-BoldMT" w:hAnsi="Arial-BoldMT" w:cs="Arial-BoldMT" w:eastAsia="Arial-BoldMT"/>
          <w:b w:val="true"/>
          <w:sz w:val="20"/>
        </w:rPr>
        <w:t xml:space="preserve">21.  </w:t>
      </w:r>
      <w:r>
        <w:rPr>
          <w:rFonts w:ascii="Arial-BoldMT" w:hAnsi="Arial-BoldMT" w:cs="Arial-BoldMT" w:eastAsia="Arial-BoldMT"/>
          <w:sz w:val="20"/>
        </w:rPr>
        <w:t>social participation. Taleb Mahdi, Anbari Moosa,  حسین دانش مهر (2010).</w:t>
        <w:br/>
        <w:br/>
      </w:r>
      <w:r>
        <w:rPr>
          <w:rFonts w:ascii="Arial-BoldMT" w:hAnsi="Arial-BoldMT" w:cs="Arial-BoldMT" w:eastAsia="Arial-BoldMT"/>
          <w:b w:val="true"/>
          <w:sz w:val="20"/>
        </w:rPr>
        <w:t xml:space="preserve">22.  </w:t>
      </w:r>
      <w:r>
        <w:rPr>
          <w:rFonts w:ascii="Arial-BoldMT" w:hAnsi="Arial-BoldMT" w:cs="Arial-BoldMT" w:eastAsia="Arial-BoldMT"/>
          <w:sz w:val="20"/>
        </w:rPr>
        <w:t>. Taleb Mahdi,  زهره نجفی اصل (2009)., Iranian Jornal of Anthropology, 2(10), 69-96.</w:t>
        <w:br/>
        <w:br/>
      </w:r>
      <w:r>
        <w:rPr>
          <w:rFonts w:ascii="Arial-BoldMT" w:hAnsi="Arial-BoldMT" w:cs="Arial-BoldMT" w:eastAsia="Arial-BoldMT"/>
          <w:b w:val="true"/>
          <w:sz w:val="20"/>
        </w:rPr>
        <w:t xml:space="preserve">23.  </w:t>
      </w:r>
      <w:r>
        <w:rPr>
          <w:rFonts w:ascii="Arial-BoldMT" w:hAnsi="Arial-BoldMT" w:cs="Arial-BoldMT" w:eastAsia="Arial-BoldMT"/>
          <w:sz w:val="20"/>
        </w:rPr>
        <w:t>. Taleb Mahdi,  حسن بخشی زاده, Mirzaei Hossein (2009)., Roosta va Towse"e, 11(4), 25-52.</w:t>
        <w:br/>
        <w:br/>
      </w:r>
      <w:r>
        <w:rPr>
          <w:rFonts w:ascii="Arial-BoldMT" w:hAnsi="Arial-BoldMT" w:cs="Arial-BoldMT" w:eastAsia="Arial-BoldMT"/>
          <w:b w:val="true"/>
          <w:sz w:val="20"/>
        </w:rPr>
        <w:t xml:space="preserve">24.  </w:t>
      </w:r>
      <w:r>
        <w:rPr>
          <w:rFonts w:ascii="Arial-BoldMT" w:hAnsi="Arial-BoldMT" w:cs="Arial-BoldMT" w:eastAsia="Arial-BoldMT"/>
          <w:sz w:val="20"/>
        </w:rPr>
        <w:t>. Taleb Mahdi, Firouzabadi Seyed Ahmad, Imani Jajarmi Hossein,  علیرضا صادقی (2008)., Iranian Journal of Sociology, 9(1-2), 165-183.</w:t>
        <w:br/>
        <w:br/>
      </w:r>
      <w:r>
        <w:rPr>
          <w:rFonts w:ascii="Arial-BoldMT" w:hAnsi="Arial-BoldMT" w:cs="Arial-BoldMT" w:eastAsia="Arial-BoldMT"/>
          <w:b w:val="true"/>
          <w:sz w:val="20"/>
        </w:rPr>
        <w:t xml:space="preserve">25.  </w:t>
      </w:r>
      <w:r>
        <w:rPr>
          <w:rFonts w:ascii="Arial-BoldMT" w:hAnsi="Arial-BoldMT" w:cs="Arial-BoldMT" w:eastAsia="Arial-BoldMT"/>
          <w:sz w:val="20"/>
        </w:rPr>
        <w:t>. Taleb Mahdi, Anbari Moosa (2007)., Roosta va Towse"e, -(---), 35-53.</w:t>
        <w:br/>
        <w:br/>
      </w:r>
      <w:r>
        <w:rPr>
          <w:rFonts w:ascii="Arial-BoldMT" w:hAnsi="Arial-BoldMT" w:cs="Arial-BoldMT" w:eastAsia="Arial-BoldMT"/>
          <w:b w:val="true"/>
          <w:sz w:val="20"/>
        </w:rPr>
        <w:t xml:space="preserve">26.  </w:t>
      </w:r>
      <w:r>
        <w:rPr>
          <w:rFonts w:ascii="Arial-BoldMT" w:hAnsi="Arial-BoldMT" w:cs="Arial-BoldMT" w:eastAsia="Arial-BoldMT"/>
          <w:sz w:val="20"/>
        </w:rPr>
        <w:t>. Anbari Moosa, Taleb Mahdi (2006)., Sociology Journal of Art and Literature, 27(---), -.</w:t>
        <w:br/>
        <w:br/>
      </w:r>
      <w:r>
        <w:rPr>
          <w:rFonts w:ascii="Arial-BoldMT" w:hAnsi="Arial-BoldMT" w:cs="Arial-BoldMT" w:eastAsia="Arial-BoldMT"/>
          <w:b w:val="true"/>
          <w:sz w:val="20"/>
        </w:rPr>
        <w:t xml:space="preserve">27.  </w:t>
      </w:r>
      <w:r>
        <w:rPr>
          <w:rFonts w:ascii="Arial-BoldMT" w:hAnsi="Arial-BoldMT" w:cs="Arial-BoldMT" w:eastAsia="Arial-BoldMT"/>
          <w:sz w:val="20"/>
        </w:rPr>
        <w:t>.  محسن گودرزی, Taleb Mahdi (2004)., Women in Development &amp; Politics, 2(1), 23-49.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Rural sociology. Anbari Moosa, Taleb Mahdi (2023).</w:t>
        <w:br/>
        <w:br/>
      </w:r>
      <w:r>
        <w:rPr>
          <w:rFonts w:ascii="Arial-BoldMT" w:hAnsi="Arial-BoldMT" w:cs="Arial-BoldMT" w:eastAsia="Arial-BoldMT"/>
          <w:b w:val="true"/>
          <w:sz w:val="20"/>
        </w:rPr>
        <w:t xml:space="preserve">2.  </w:t>
      </w:r>
      <w:r>
        <w:rPr>
          <w:rFonts w:ascii="Arial-BoldMT" w:hAnsi="Arial-BoldMT" w:cs="Arial-BoldMT" w:eastAsia="Arial-BoldMT"/>
          <w:sz w:val="20"/>
        </w:rPr>
        <w:t>Changes of  Rural Management in Iran. سلمانوندی شاپور, Taleb Mahdi, Imani Jajarmi Hossein (2021).</w:t>
        <w:br/>
        <w:br/>
      </w:r>
      <w:r>
        <w:rPr>
          <w:rFonts w:ascii="Arial-BoldMT" w:hAnsi="Arial-BoldMT" w:cs="Arial-BoldMT" w:eastAsia="Arial-BoldMT"/>
          <w:b w:val="true"/>
          <w:sz w:val="20"/>
        </w:rPr>
        <w:t xml:space="preserve">3.  </w:t>
      </w:r>
      <w:r>
        <w:rPr>
          <w:rFonts w:ascii="Arial-BoldMT" w:hAnsi="Arial-BoldMT" w:cs="Arial-BoldMT" w:eastAsia="Arial-BoldMT"/>
          <w:sz w:val="20"/>
        </w:rPr>
        <w:t>Islamic Iranian Model of Progress. Taleb Mahdi, Bkhshizadeh Hassan (2014).</w:t>
        <w:br/>
        <w:br/>
      </w:r>
      <w:r>
        <w:rPr>
          <w:rFonts w:ascii="Arial-BoldMT" w:hAnsi="Arial-BoldMT" w:cs="Arial-BoldMT" w:eastAsia="Arial-BoldMT"/>
          <w:b w:val="true"/>
          <w:sz w:val="20"/>
        </w:rPr>
        <w:t xml:space="preserve">4.  </w:t>
      </w:r>
      <w:r>
        <w:rPr>
          <w:rFonts w:ascii="Arial-BoldMT" w:hAnsi="Arial-BoldMT" w:cs="Arial-BoldMT" w:eastAsia="Arial-BoldMT"/>
          <w:sz w:val="20"/>
        </w:rPr>
        <w:t>Social Ecology. Taleb Mahdi, محمدی احمد (2013).</w:t>
        <w:br/>
        <w:br/>
      </w:r>
      <w:r>
        <w:rPr>
          <w:rFonts w:ascii="Arial-BoldMT" w:hAnsi="Arial-BoldMT" w:cs="Arial-BoldMT" w:eastAsia="Arial-BoldMT"/>
          <w:b w:val="true"/>
          <w:sz w:val="20"/>
        </w:rPr>
        <w:t xml:space="preserve">5.  </w:t>
      </w:r>
      <w:r>
        <w:rPr>
          <w:rFonts w:ascii="Arial-BoldMT" w:hAnsi="Arial-BoldMT" w:cs="Arial-BoldMT" w:eastAsia="Arial-BoldMT"/>
          <w:sz w:val="20"/>
        </w:rPr>
        <w:t>Rural Development Priorities. Taleb Mahdi,  احمد محمدی, Farzizadeh Zahra,  حسین قهاری (2009).</w:t>
        <w:br/>
        <w:br/>
      </w:r>
      <w:r>
        <w:rPr>
          <w:rFonts w:ascii="Arial-BoldMT" w:hAnsi="Arial-BoldMT" w:cs="Arial-BoldMT" w:eastAsia="Arial-BoldMT"/>
          <w:b w:val="true"/>
          <w:sz w:val="20"/>
        </w:rPr>
        <w:t xml:space="preserve">6.  </w:t>
      </w:r>
      <w:r>
        <w:rPr>
          <w:rFonts w:ascii="Arial-BoldMT" w:hAnsi="Arial-BoldMT" w:cs="Arial-BoldMT" w:eastAsia="Arial-BoldMT"/>
          <w:sz w:val="20"/>
        </w:rPr>
        <w:t>سازمان های متولی توسعه روستایی در ایران. Taleb Mahdi,  حسن بخشی زاده (2009).</w:t>
        <w:br/>
        <w:br/>
      </w:r>
      <w:r>
        <w:rPr>
          <w:rFonts w:ascii="Arial-BoldMT" w:hAnsi="Arial-BoldMT" w:cs="Arial-BoldMT" w:eastAsia="Arial-BoldMT"/>
          <w:b w:val="true"/>
          <w:sz w:val="20"/>
        </w:rPr>
        <w:t xml:space="preserve">7.  </w:t>
      </w:r>
      <w:r>
        <w:rPr>
          <w:rFonts w:ascii="Arial-BoldMT" w:hAnsi="Arial-BoldMT" w:cs="Arial-BoldMT" w:eastAsia="Arial-BoldMT"/>
          <w:sz w:val="20"/>
        </w:rPr>
        <w:t>شیوه های علمی مطالعات اجتماعی (روش تحقیق عملی). Taleb Mahdi (2001).</w:t>
        <w:br/>
        <w:br/>
      </w:r>
      <w:r>
        <w:rPr>
          <w:rFonts w:ascii="Arial-BoldMT" w:hAnsi="Arial-BoldMT" w:cs="Arial-BoldMT" w:eastAsia="Arial-BoldMT"/>
          <w:b w:val="true"/>
          <w:sz w:val="20"/>
        </w:rPr>
        <w:t xml:space="preserve">8.  </w:t>
      </w:r>
      <w:r>
        <w:rPr>
          <w:rFonts w:ascii="Arial-BoldMT" w:hAnsi="Arial-BoldMT" w:cs="Arial-BoldMT" w:eastAsia="Arial-BoldMT"/>
          <w:sz w:val="20"/>
        </w:rPr>
        <w:t>مدیریت روستایی در ایران. Taleb Mahdi (1997).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Economic Empowerment. Farzizadeh Zahra, Taleb Mahdi (2016)., 1 st National Conference on Family Changes and Challenges in Iran, 26-27 April, Shiraz, Iran.</w:t>
        <w:br/>
        <w:br/>
      </w:r>
      <w:r>
        <w:rPr>
          <w:rFonts w:ascii="Arial-BoldMT" w:hAnsi="Arial-BoldMT" w:cs="Arial-BoldMT" w:eastAsia="Arial-BoldMT"/>
          <w:b w:val="true"/>
          <w:sz w:val="20"/>
        </w:rPr>
        <w:t xml:space="preserve">2.  </w:t>
      </w:r>
      <w:r>
        <w:rPr>
          <w:rFonts w:ascii="Arial-BoldMT" w:hAnsi="Arial-BoldMT" w:cs="Arial-BoldMT" w:eastAsia="Arial-BoldMT"/>
          <w:sz w:val="20"/>
        </w:rPr>
        <w:t>the pathological research about creating small city near villages are in neighbourhood of big city. Taleb Mahdi, Najafiasl Zohreh (2014)., the first conference about rural spatial-anatumical of sustainable development, 23-24 June, Cardiff, Iran.</w:t>
        <w:br/>
        <w:br/>
      </w:r>
      <w:r>
        <w:rPr>
          <w:rFonts w:ascii="Arial-BoldMT" w:hAnsi="Arial-BoldMT" w:cs="Arial-BoldMT" w:eastAsia="Arial-BoldMT"/>
          <w:b w:val="true"/>
          <w:sz w:val="20"/>
        </w:rPr>
        <w:t xml:space="preserve">3.  </w:t>
      </w:r>
      <w:r>
        <w:rPr>
          <w:rFonts w:ascii="Arial-BoldMT" w:hAnsi="Arial-BoldMT" w:cs="Arial-BoldMT" w:eastAsia="Arial-BoldMT"/>
          <w:sz w:val="20"/>
        </w:rPr>
        <w:t>The authority trends and its function in different generation in rural families in 50 years ago, case study: Hesar khorvan village of ghazvin. Taleb Mahdi, Najafiasl Zohreh (2014)., The third national seminar of social-pathology of women and family, 23 April, Babolsar, Iran.</w:t>
        <w:br/>
        <w:br/>
      </w:r>
      <w:r>
        <w:rPr>
          <w:rFonts w:ascii="Arial-BoldMT" w:hAnsi="Arial-BoldMT" w:cs="Arial-BoldMT" w:eastAsia="Arial-BoldMT"/>
          <w:b w:val="true"/>
          <w:sz w:val="20"/>
        </w:rPr>
        <w:t xml:space="preserve">4.  </w:t>
      </w:r>
      <w:r>
        <w:rPr>
          <w:rFonts w:ascii="Arial-BoldMT" w:hAnsi="Arial-BoldMT" w:cs="Arial-BoldMT" w:eastAsia="Arial-BoldMT"/>
          <w:sz w:val="20"/>
        </w:rPr>
        <w:t>EMPOWERMENT. Taleb Mahdi, Farzizadeh Zahra (2013)., The Second National Conference on Rural Planning &amp; Sustainable Development of Southern Caspian Sea Region with Emphasis on Phisical &amp; Socio Cultural Issuis, 9-10 October, Rasht,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Analysis of Changes in Rural Society in Iran</w:t>
        <w:br/>
        <w:br/>
      </w:r>
      <w:r>
        <w:rPr>
          <w:rFonts w:ascii="Arial-BoldMT" w:hAnsi="Arial-BoldMT" w:cs="Arial-BoldMT" w:eastAsia="Arial-BoldMT"/>
          <w:b w:val="true"/>
          <w:sz w:val="20"/>
        </w:rPr>
        <w:t>Seminar on Social Issues and Problems of the Iranian Rural and Nomadic Society</w:t>
        <w:br/>
        <w:br/>
      </w:r>
      <w:r>
        <w:rPr>
          <w:rFonts w:ascii="Arial-BoldMT" w:hAnsi="Arial-BoldMT" w:cs="Arial-BoldMT" w:eastAsia="Arial-BoldMT"/>
          <w:b w:val="true"/>
          <w:sz w:val="20"/>
        </w:rPr>
        <w:t>Seminar to Examine Social Issues in Rural and Nomadic Iran</w:t>
        <w:br/>
        <w:br/>
      </w:r>
      <w:r>
        <w:rPr>
          <w:rFonts w:ascii="Arial-BoldMT" w:hAnsi="Arial-BoldMT" w:cs="Arial-BoldMT" w:eastAsia="Arial-BoldMT"/>
          <w:b w:val="true"/>
          <w:sz w:val="20"/>
        </w:rPr>
        <w:t>Seminar to Examine Social Issues in Rural and Nomadic Iran</w:t>
        <w:br/>
        <w:br/>
      </w:r>
      <w:r>
        <w:rPr>
          <w:rFonts w:ascii="Arial-BoldMT" w:hAnsi="Arial-BoldMT" w:cs="Arial-BoldMT" w:eastAsia="Arial-BoldMT"/>
          <w:b w:val="true"/>
          <w:sz w:val="20"/>
        </w:rPr>
        <w:t>Rural Managment</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Mahdi Taleb</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