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Hamed Mazaheriyan</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Architecture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mazaheri@ut.ac.ir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Ph.D In </w:t>
        <w:br/>
      </w:r>
      <w:r>
        <w:rPr>
          <w:rFonts w:ascii="ArialMT" w:hAnsi="ArialMT" w:cs="ArialMT" w:eastAsia="ArialMT"/>
          <w:sz w:val="20"/>
        </w:rPr>
        <w:t/>
      </w:r>
      <w:r>
        <w:tab/>
        <w:tab/>
        <w:t>1999-2006</w:t>
        <w:br/>
      </w:r>
      <w:r>
        <w:rPr>
          <w:rFonts w:ascii="Arial-BoldMT" w:hAnsi="Arial-BoldMT" w:cs="Arial-BoldMT" w:eastAsia="Arial-BoldMT"/>
          <w:b w:val="true"/>
          <w:sz w:val="20"/>
        </w:rPr>
        <w:t xml:space="preserve">M.Sc In </w:t>
        <w:br/>
      </w:r>
      <w:r>
        <w:rPr>
          <w:rFonts w:ascii="ArialMT" w:hAnsi="ArialMT" w:cs="ArialMT" w:eastAsia="ArialMT"/>
          <w:sz w:val="20"/>
        </w:rPr>
        <w:t/>
      </w:r>
      <w:r>
        <w:tab/>
        <w:tab/>
        <w:t>1983-1993</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33</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The effects of cultural behavior on the evacuation of the first residential towers built in Iran (case study: Saman twin towers from the 1970s in Tehran). Soltanzadeh Alireza, Mazaheriyan Hamed, Heidari Shahin (2023)., JOURNAL OF BUILDING ENGINEERING, 107231(76), 1-17.</w:t>
        <w:br/>
        <w:br/>
      </w:r>
      <w:r>
        <w:rPr>
          <w:rFonts w:ascii="Arial-BoldMT" w:hAnsi="Arial-BoldMT" w:cs="Arial-BoldMT" w:eastAsia="Arial-BoldMT"/>
          <w:b w:val="true"/>
          <w:sz w:val="20"/>
        </w:rPr>
        <w:t xml:space="preserve">2.  </w:t>
      </w:r>
      <w:r>
        <w:rPr>
          <w:rFonts w:ascii="Arial-BoldMT" w:hAnsi="Arial-BoldMT" w:cs="Arial-BoldMT" w:eastAsia="Arial-BoldMT"/>
          <w:sz w:val="20"/>
        </w:rPr>
        <w:t>Comparative Study of Design Approaches among Historical Contexts in Related Researches. Ardebilchi Ilghar, Haghir Saeed, Mazaheriyan Hamed, Khaghani Saeid (2023)., Research on Iranian Architecture, 12(23), 195-213.</w:t>
        <w:br/>
        <w:br/>
      </w:r>
      <w:r>
        <w:rPr>
          <w:rFonts w:ascii="Arial-BoldMT" w:hAnsi="Arial-BoldMT" w:cs="Arial-BoldMT" w:eastAsia="Arial-BoldMT"/>
          <w:b w:val="true"/>
          <w:sz w:val="20"/>
        </w:rPr>
        <w:t xml:space="preserve">3.  </w:t>
      </w:r>
      <w:r>
        <w:rPr>
          <w:rFonts w:ascii="Arial-BoldMT" w:hAnsi="Arial-BoldMT" w:cs="Arial-BoldMT" w:eastAsia="Arial-BoldMT"/>
          <w:sz w:val="20"/>
        </w:rPr>
        <w:t>Studying Documents of International Organizations on Design Approaches in Historical Districts in the Contemporary era. Ardebilchi Ilghar, Haghir Saeed, Mazaheriyan Hamed, Khaghani Saeid (2023)., Naghshejahan, 14(1), 66-89.</w:t>
        <w:br/>
        <w:br/>
      </w:r>
      <w:r>
        <w:rPr>
          <w:rFonts w:ascii="Arial-BoldMT" w:hAnsi="Arial-BoldMT" w:cs="Arial-BoldMT" w:eastAsia="Arial-BoldMT"/>
          <w:b w:val="true"/>
          <w:sz w:val="20"/>
        </w:rPr>
        <w:t xml:space="preserve">4.  </w:t>
      </w:r>
      <w:r>
        <w:rPr>
          <w:rFonts w:ascii="Arial-BoldMT" w:hAnsi="Arial-BoldMT" w:cs="Arial-BoldMT" w:eastAsia="Arial-BoldMT"/>
          <w:sz w:val="20"/>
        </w:rPr>
        <w:t>The influence of color spectrums on the feelings of residential space users and the influence of color preference in it. خلعتبری رامتین, Mazaheriyan Hamed, Taghizadeh Azari Katayoun (2023)., Architecture and Urbanism, 27(4).</w:t>
        <w:br/>
        <w:br/>
      </w:r>
      <w:r>
        <w:rPr>
          <w:rFonts w:ascii="Arial-BoldMT" w:hAnsi="Arial-BoldMT" w:cs="Arial-BoldMT" w:eastAsia="Arial-BoldMT"/>
          <w:b w:val="true"/>
          <w:sz w:val="20"/>
        </w:rPr>
        <w:t xml:space="preserve">5.  </w:t>
      </w:r>
      <w:r>
        <w:rPr>
          <w:rFonts w:ascii="Arial-BoldMT" w:hAnsi="Arial-BoldMT" w:cs="Arial-BoldMT" w:eastAsia="Arial-BoldMT"/>
          <w:sz w:val="20"/>
        </w:rPr>
        <w:t>Defensive Modernization &amp; Evolution of the Forms in the Urban Structures of Tehran (Naser al-Din Shah Era). Heidari Parisa, Mazaheriyan Hamed, Hanachi Pirouz, Haghir Saeed (2022)., Journal of Design Thinking, 1(3), 111-122.</w:t>
        <w:br/>
        <w:br/>
      </w:r>
      <w:r>
        <w:rPr>
          <w:rFonts w:ascii="Arial-BoldMT" w:hAnsi="Arial-BoldMT" w:cs="Arial-BoldMT" w:eastAsia="Arial-BoldMT"/>
          <w:b w:val="true"/>
          <w:sz w:val="20"/>
        </w:rPr>
        <w:t xml:space="preserve">6.  </w:t>
      </w:r>
      <w:r>
        <w:rPr>
          <w:rFonts w:ascii="Arial-BoldMT" w:hAnsi="Arial-BoldMT" w:cs="Arial-BoldMT" w:eastAsia="Arial-BoldMT"/>
          <w:sz w:val="20"/>
        </w:rPr>
        <w:t>Anthropology of Domestic Space: Rereading of Architectural Patterns of Houses in Azerbaijan During 2nd Pahlavi Period according to Lifestyle of Inhabitants (Scope of Malekan, Bonab and Maragheh cities). عباسی ملکی ندا, Andarodi Elham, Mazaheriyan Hamed, Khaghani Saeid (2022)., The Journal of Architectural Thought, 6(11), 1-19.</w:t>
        <w:br/>
        <w:br/>
      </w:r>
      <w:r>
        <w:rPr>
          <w:rFonts w:ascii="Arial-BoldMT" w:hAnsi="Arial-BoldMT" w:cs="Arial-BoldMT" w:eastAsia="Arial-BoldMT"/>
          <w:b w:val="true"/>
          <w:sz w:val="20"/>
        </w:rPr>
        <w:t xml:space="preserve">7.  </w:t>
      </w:r>
      <w:r>
        <w:rPr>
          <w:rFonts w:ascii="Arial-BoldMT" w:hAnsi="Arial-BoldMT" w:cs="Arial-BoldMT" w:eastAsia="Arial-BoldMT"/>
          <w:sz w:val="20"/>
        </w:rPr>
        <w:t>Representation of the Demand for Legislation in the Critiques on Pre-Modern Architecture and Towns during the Constitutional Era; Case Study: The Memoirs of Eyn-al-Saltaneh, from 1300 to 1339 AH.. Salavati Kamyar, Mazaheriyan Hamed, Haghir Saeed (2021)., Honar-ha-ye-ziba  Memari-Va-Shahrsazi, 26(2), 5-15.</w:t>
        <w:br/>
        <w:br/>
      </w:r>
      <w:r>
        <w:rPr>
          <w:rFonts w:ascii="Arial-BoldMT" w:hAnsi="Arial-BoldMT" w:cs="Arial-BoldMT" w:eastAsia="Arial-BoldMT"/>
          <w:b w:val="true"/>
          <w:sz w:val="20"/>
        </w:rPr>
        <w:t xml:space="preserve">8.  </w:t>
      </w:r>
      <w:r>
        <w:rPr>
          <w:rFonts w:ascii="Arial-BoldMT" w:hAnsi="Arial-BoldMT" w:cs="Arial-BoldMT" w:eastAsia="Arial-BoldMT"/>
          <w:sz w:val="20"/>
        </w:rPr>
        <w:t>Optimal solutions to vertical access placement design in residential high-rise buildings based on human behavior. Soltanzadeh Alireza, Mazaheriyan Hamed, Heidari Shahin (2021)., JOURNAL OF BUILDING ENGINEERING, 43(8), 102856.</w:t>
        <w:br/>
        <w:br/>
      </w:r>
      <w:r>
        <w:rPr>
          <w:rFonts w:ascii="Arial-BoldMT" w:hAnsi="Arial-BoldMT" w:cs="Arial-BoldMT" w:eastAsia="Arial-BoldMT"/>
          <w:b w:val="true"/>
          <w:sz w:val="20"/>
        </w:rPr>
        <w:t xml:space="preserve">9.  </w:t>
      </w:r>
      <w:r>
        <w:rPr>
          <w:rFonts w:ascii="Arial-BoldMT" w:hAnsi="Arial-BoldMT" w:cs="Arial-BoldMT" w:eastAsia="Arial-BoldMT"/>
          <w:sz w:val="20"/>
        </w:rPr>
        <w:t>Clarifying the causes of decrease in the physical quality of housing in the current policies from government involvement to abandoned patterns: A case study of District 22 in Tehran. رستمی محسن, Mazaheriyan Hamed (2021)., Journal of Geographical Research on Desert Areas, دوره 9(شماره 1).</w:t>
        <w:br/>
        <w:br/>
      </w:r>
      <w:r>
        <w:rPr>
          <w:rFonts w:ascii="Arial-BoldMT" w:hAnsi="Arial-BoldMT" w:cs="Arial-BoldMT" w:eastAsia="Arial-BoldMT"/>
          <w:b w:val="true"/>
          <w:sz w:val="20"/>
        </w:rPr>
        <w:t xml:space="preserve">10.  </w:t>
      </w:r>
      <w:r>
        <w:rPr>
          <w:rFonts w:ascii="Arial-BoldMT" w:hAnsi="Arial-BoldMT" w:cs="Arial-BoldMT" w:eastAsia="Arial-BoldMT"/>
          <w:sz w:val="20"/>
        </w:rPr>
        <w:t>Placing Egress Components and Smoke Shafts in the Core Structure of Residential High-rise Buildings for Emergency Evacuation. Soltanzadeh Alireza, Mazaheriyan Hamed, Heidari Shahin, Andaji Ali (2021)., Space Ontology International Journal-Architecture, Urban Design and Planning, 10(1), 27-45.</w:t>
        <w:br/>
        <w:br/>
      </w:r>
      <w:r>
        <w:rPr>
          <w:rFonts w:ascii="Arial-BoldMT" w:hAnsi="Arial-BoldMT" w:cs="Arial-BoldMT" w:eastAsia="Arial-BoldMT"/>
          <w:b w:val="true"/>
          <w:sz w:val="20"/>
        </w:rPr>
        <w:t xml:space="preserve">11.  </w:t>
      </w:r>
      <w:r>
        <w:rPr>
          <w:rFonts w:ascii="Arial-BoldMT" w:hAnsi="Arial-BoldMT" w:cs="Arial-BoldMT" w:eastAsia="Arial-BoldMT"/>
          <w:sz w:val="20"/>
        </w:rPr>
        <w:t>Comparative Evaluation of the Effect of Color Factor on Desirability of Urban Furniture Case study; Masjed Hakim and Mohammadbagher Sadr Axes in Isfahan City. Mazaheriyan Hamed, Lotfipor Morteza, Hamzeh Narges (2020)., Journal of Restoration and Architecture of Iran, 10(21).</w:t>
        <w:br/>
        <w:br/>
      </w:r>
      <w:r>
        <w:rPr>
          <w:rFonts w:ascii="Arial-BoldMT" w:hAnsi="Arial-BoldMT" w:cs="Arial-BoldMT" w:eastAsia="Arial-BoldMT"/>
          <w:b w:val="true"/>
          <w:sz w:val="20"/>
        </w:rPr>
        <w:t xml:space="preserve">12.  </w:t>
      </w:r>
      <w:r>
        <w:rPr>
          <w:rFonts w:ascii="Arial-BoldMT" w:hAnsi="Arial-BoldMT" w:cs="Arial-BoldMT" w:eastAsia="Arial-BoldMT"/>
          <w:sz w:val="20"/>
        </w:rPr>
        <w:t>Revitalization of the Landscape of Urban Rivers with an Approach to Positive Interaction between Human and the Natural Environment; (Case Study: the River of Amol Shahr-roud). Hamzeh Narges, Mazaheriyan Hamed, Izadi Mohammad, Lotfipor Morteza (2019)., SCIENTIFIC JOURNAL OF IRANIAN ARCHITECTURE, 10(2).</w:t>
        <w:br/>
        <w:br/>
      </w:r>
      <w:r>
        <w:rPr>
          <w:rFonts w:ascii="Arial-BoldMT" w:hAnsi="Arial-BoldMT" w:cs="Arial-BoldMT" w:eastAsia="Arial-BoldMT"/>
          <w:b w:val="true"/>
          <w:sz w:val="20"/>
        </w:rPr>
        <w:t xml:space="preserve">13.  </w:t>
      </w:r>
      <w:r>
        <w:rPr>
          <w:rFonts w:ascii="Arial-BoldMT" w:hAnsi="Arial-BoldMT" w:cs="Arial-BoldMT" w:eastAsia="Arial-BoldMT"/>
          <w:sz w:val="20"/>
        </w:rPr>
        <w:t>expanding of. Ghahramani Mohammad Bagher, piravi marziye, Mazaheriyan Hamed, sayad alireza (2018)., honar haye ziba, 23(3), 49.</w:t>
        <w:br/>
        <w:br/>
      </w:r>
      <w:r>
        <w:rPr>
          <w:rFonts w:ascii="Arial-BoldMT" w:hAnsi="Arial-BoldMT" w:cs="Arial-BoldMT" w:eastAsia="Arial-BoldMT"/>
          <w:b w:val="true"/>
          <w:sz w:val="20"/>
        </w:rPr>
        <w:t xml:space="preserve">14.  </w:t>
      </w:r>
      <w:r>
        <w:rPr>
          <w:rFonts w:ascii="Arial-BoldMT" w:hAnsi="Arial-BoldMT" w:cs="Arial-BoldMT" w:eastAsia="Arial-BoldMT"/>
          <w:sz w:val="20"/>
        </w:rPr>
        <w:t>Iran Historical Mosques Shabestan-Based Topology Using Geographical Information System. Taheri Mehdi, Mazaheriyan Hamed, Khaghani Saeid (2018)., Honar-ha-ye-ziba  Memari-Va-Shahrsazi, 23(3), 10.</w:t>
        <w:br/>
        <w:br/>
      </w:r>
      <w:r>
        <w:rPr>
          <w:rFonts w:ascii="Arial-BoldMT" w:hAnsi="Arial-BoldMT" w:cs="Arial-BoldMT" w:eastAsia="Arial-BoldMT"/>
          <w:b w:val="true"/>
          <w:sz w:val="20"/>
        </w:rPr>
        <w:t xml:space="preserve">15.  </w:t>
      </w:r>
      <w:r>
        <w:rPr>
          <w:rFonts w:ascii="Arial-BoldMT" w:hAnsi="Arial-BoldMT" w:cs="Arial-BoldMT" w:eastAsia="Arial-BoldMT"/>
          <w:sz w:val="20"/>
        </w:rPr>
        <w:t>Iwan-Baes Typology of Historical Mosques of Iran. Khaghani Saeid, Taheri Mohammad, Mazaheriyan Hamed (2018)., soffeh, 28(82), 13.</w:t>
        <w:br/>
        <w:br/>
      </w:r>
      <w:r>
        <w:rPr>
          <w:rFonts w:ascii="Arial-BoldMT" w:hAnsi="Arial-BoldMT" w:cs="Arial-BoldMT" w:eastAsia="Arial-BoldMT"/>
          <w:b w:val="true"/>
          <w:sz w:val="20"/>
        </w:rPr>
        <w:t xml:space="preserve">16.  </w:t>
      </w:r>
      <w:r>
        <w:rPr>
          <w:rFonts w:ascii="Arial-BoldMT" w:hAnsi="Arial-BoldMT" w:cs="Arial-BoldMT" w:eastAsia="Arial-BoldMT"/>
          <w:sz w:val="20"/>
        </w:rPr>
        <w:t>The interconnection of space and physical sculptures in Baroque cinema. Ghahramani Mohammad Bagher, Piravi Vanak Marziye, Mazaheriyan Hamed, Sayad Alireza (2017)., honar haye ziba, 14(14), 71-84.</w:t>
        <w:br/>
        <w:br/>
      </w:r>
      <w:r>
        <w:rPr>
          <w:rFonts w:ascii="Arial-BoldMT" w:hAnsi="Arial-BoldMT" w:cs="Arial-BoldMT" w:eastAsia="Arial-BoldMT"/>
          <w:b w:val="true"/>
          <w:sz w:val="20"/>
        </w:rPr>
        <w:t xml:space="preserve">17.  </w:t>
      </w:r>
      <w:r>
        <w:rPr>
          <w:rFonts w:ascii="Arial-BoldMT" w:hAnsi="Arial-BoldMT" w:cs="Arial-BoldMT" w:eastAsia="Arial-BoldMT"/>
          <w:sz w:val="20"/>
        </w:rPr>
        <w:t>Geometric and structural geometric and geometric analysis in Iran architecture. Nazari Soheil, Mazaheriyan Hamed, معماریان غلامحسین, Kazempoor Hamiidreza (2017)., Honar-ha-ye-ziba  Memari-Va-Shahrsazi, 22(1), 53-64.</w:t>
        <w:br/>
        <w:br/>
      </w:r>
      <w:r>
        <w:rPr>
          <w:rFonts w:ascii="Arial-BoldMT" w:hAnsi="Arial-BoldMT" w:cs="Arial-BoldMT" w:eastAsia="Arial-BoldMT"/>
          <w:b w:val="true"/>
          <w:sz w:val="20"/>
        </w:rPr>
        <w:t xml:space="preserve">18.  </w:t>
      </w:r>
      <w:r>
        <w:rPr>
          <w:rFonts w:ascii="Arial-BoldMT" w:hAnsi="Arial-BoldMT" w:cs="Arial-BoldMT" w:eastAsia="Arial-BoldMT"/>
          <w:sz w:val="20"/>
        </w:rPr>
        <w:t>Form and structure of Iranian cities in their transition from Sasanian to Early-Islamic era.. Khaledian Sattar, Karimian Hassan, Pour Ahmad Ahmad, Mazaheriyan Hamed (2017)., Journal of Archaeological Studies, 8(2), 35-51.</w:t>
        <w:br/>
        <w:br/>
      </w:r>
      <w:r>
        <w:rPr>
          <w:rFonts w:ascii="Arial-BoldMT" w:hAnsi="Arial-BoldMT" w:cs="Arial-BoldMT" w:eastAsia="Arial-BoldMT"/>
          <w:b w:val="true"/>
          <w:sz w:val="20"/>
        </w:rPr>
        <w:t xml:space="preserve">19.  </w:t>
      </w:r>
      <w:r>
        <w:rPr>
          <w:rFonts w:ascii="Arial-BoldMT" w:hAnsi="Arial-BoldMT" w:cs="Arial-BoldMT" w:eastAsia="Arial-BoldMT"/>
          <w:sz w:val="20"/>
        </w:rPr>
        <w:t>Reconfiguration of Flaneur of the Modern Metropolis in the Body of a Film Spectator. Ghahramani Mohammad Bagher, Peyravi Marzyeh, Mazaheriyan Hamed, sayad alireza (2016)., Honar-ha-ye-ziba  Memari-Va-Shahrsazi, 21(5), 1-17.</w:t>
        <w:br/>
        <w:br/>
      </w:r>
      <w:r>
        <w:rPr>
          <w:rFonts w:ascii="Arial-BoldMT" w:hAnsi="Arial-BoldMT" w:cs="Arial-BoldMT" w:eastAsia="Arial-BoldMT"/>
          <w:b w:val="true"/>
          <w:sz w:val="20"/>
        </w:rPr>
        <w:t xml:space="preserve">20.  </w:t>
      </w:r>
      <w:r>
        <w:rPr>
          <w:rFonts w:ascii="Arial-BoldMT" w:hAnsi="Arial-BoldMT" w:cs="Arial-BoldMT" w:eastAsia="Arial-BoldMT"/>
          <w:sz w:val="20"/>
        </w:rPr>
        <w:t>cinamatique. Mazaheriyan Hamed, Ghahramani Mohammad Bagher, Piravi Vanak Marziye, Sayad Alireza (2015)., Comparative Studies of Art, 2(A-10), 12.</w:t>
        <w:br/>
        <w:br/>
      </w:r>
      <w:r>
        <w:rPr>
          <w:rFonts w:ascii="Arial-BoldMT" w:hAnsi="Arial-BoldMT" w:cs="Arial-BoldMT" w:eastAsia="Arial-BoldMT"/>
          <w:b w:val="true"/>
          <w:sz w:val="20"/>
        </w:rPr>
        <w:t xml:space="preserve">21.  </w:t>
      </w:r>
      <w:r>
        <w:rPr>
          <w:rFonts w:ascii="Arial-BoldMT" w:hAnsi="Arial-BoldMT" w:cs="Arial-BoldMT" w:eastAsia="Arial-BoldMT"/>
          <w:sz w:val="20"/>
        </w:rPr>
        <w:t>Islamic Archetypes in Persian Caravanserai as Generators of Future Architecture. Mazaheriyan Hamed, Keynoosh Amir Mehdi, Keynoosh Ariya (2015)., Naghshejahan, 1(5), 9.</w:t>
        <w:br/>
        <w:br/>
      </w:r>
      <w:r>
        <w:rPr>
          <w:rFonts w:ascii="Arial-BoldMT" w:hAnsi="Arial-BoldMT" w:cs="Arial-BoldMT" w:eastAsia="Arial-BoldMT"/>
          <w:b w:val="true"/>
          <w:sz w:val="20"/>
        </w:rPr>
        <w:t xml:space="preserve">22.  </w:t>
      </w:r>
      <w:r>
        <w:rPr>
          <w:rFonts w:ascii="Arial-BoldMT" w:hAnsi="Arial-BoldMT" w:cs="Arial-BoldMT" w:eastAsia="Arial-BoldMT"/>
          <w:sz w:val="20"/>
        </w:rPr>
        <w:t>mafhoume zaman. Mazaheriyan Hamed, Keynoosh Amir Mehdi (2015)., Naghshejahan, 1(15), 10.</w:t>
        <w:br/>
        <w:br/>
      </w:r>
      <w:r>
        <w:rPr>
          <w:rFonts w:ascii="Arial-BoldMT" w:hAnsi="Arial-BoldMT" w:cs="Arial-BoldMT" w:eastAsia="Arial-BoldMT"/>
          <w:b w:val="true"/>
          <w:sz w:val="20"/>
        </w:rPr>
        <w:t xml:space="preserve">23.  </w:t>
      </w:r>
      <w:r>
        <w:rPr>
          <w:rFonts w:ascii="Arial-BoldMT" w:hAnsi="Arial-BoldMT" w:cs="Arial-BoldMT" w:eastAsia="Arial-BoldMT"/>
          <w:sz w:val="20"/>
        </w:rPr>
        <w:t>interactive communication between cinematic spaces and urban space. Ghahramani Mohammad Bagher, piravi marzyeh, Mazaheriyan Hamed, Sayad Alirez (2015)., honar haye ziba, 20(2), 49.</w:t>
        <w:br/>
        <w:br/>
      </w:r>
      <w:r>
        <w:rPr>
          <w:rFonts w:ascii="Arial-BoldMT" w:hAnsi="Arial-BoldMT" w:cs="Arial-BoldMT" w:eastAsia="Arial-BoldMT"/>
          <w:b w:val="true"/>
          <w:sz w:val="20"/>
        </w:rPr>
        <w:t xml:space="preserve">24.  </w:t>
      </w:r>
      <w:r>
        <w:rPr>
          <w:rFonts w:ascii="Arial-BoldMT" w:hAnsi="Arial-BoldMT" w:cs="Arial-BoldMT" w:eastAsia="Arial-BoldMT"/>
          <w:sz w:val="20"/>
        </w:rPr>
        <w:t>Intertwining Geography of Dismembered Bodies and Fragmented Spaces in cinematic City. Ghahramani Mohammad Bagher, Piravi Vanak Marzieh, Mazaheriyan Hamed, Sayad Alireza (2015)., Kimia Art Quarterly, 3(13), 59-72.</w:t>
        <w:br/>
        <w:br/>
      </w:r>
      <w:r>
        <w:rPr>
          <w:rFonts w:ascii="Arial-BoldMT" w:hAnsi="Arial-BoldMT" w:cs="Arial-BoldMT" w:eastAsia="Arial-BoldMT"/>
          <w:b w:val="true"/>
          <w:sz w:val="20"/>
        </w:rPr>
        <w:t xml:space="preserve">25.  </w:t>
      </w:r>
      <w:r>
        <w:rPr>
          <w:rFonts w:ascii="Arial-BoldMT" w:hAnsi="Arial-BoldMT" w:cs="Arial-BoldMT" w:eastAsia="Arial-BoldMT"/>
          <w:sz w:val="20"/>
        </w:rPr>
        <w:t>The Moving Body of the Spectator and Formation of Spatial Sequences in Cinematic Architecture. Ghahramani Mohammad Bagher, Piravi Vanak Marzieh, Mazaheriyan Hamed, Sayad Alireza (2015)., Honar-ha-ye-ziba  Memari-Va-Shahrsazi, 19(4), 36-27.</w:t>
        <w:br/>
        <w:br/>
      </w:r>
      <w:r>
        <w:rPr>
          <w:rFonts w:ascii="Arial-BoldMT" w:hAnsi="Arial-BoldMT" w:cs="Arial-BoldMT" w:eastAsia="Arial-BoldMT"/>
          <w:b w:val="true"/>
          <w:sz w:val="20"/>
        </w:rPr>
        <w:t xml:space="preserve">26.  </w:t>
      </w:r>
      <w:r>
        <w:rPr>
          <w:rFonts w:ascii="Arial-BoldMT" w:hAnsi="Arial-BoldMT" w:cs="Arial-BoldMT" w:eastAsia="Arial-BoldMT"/>
          <w:sz w:val="20"/>
        </w:rPr>
        <w:t>audience embodiment in haptic space of film. Ghahramani Mohammad Bagher, Piravi Vanak Marzieh, Mazaheriyan Hamed, Sayad Alireza (2014)., Journal of Dramatic Arts and Music, 19(2), 53-61.</w:t>
        <w:br/>
        <w:br/>
      </w:r>
      <w:r>
        <w:rPr>
          <w:rFonts w:ascii="Arial-BoldMT" w:hAnsi="Arial-BoldMT" w:cs="Arial-BoldMT" w:eastAsia="Arial-BoldMT"/>
          <w:b w:val="true"/>
          <w:sz w:val="20"/>
        </w:rPr>
        <w:t xml:space="preserve">27.  </w:t>
      </w:r>
      <w:r>
        <w:rPr>
          <w:rFonts w:ascii="Arial-BoldMT" w:hAnsi="Arial-BoldMT" w:cs="Arial-BoldMT" w:eastAsia="Arial-BoldMT"/>
          <w:sz w:val="20"/>
        </w:rPr>
        <w:t>Determination of the Role of Islam on Iranian Civilisation and Urban Spaces.  ستار خالدیان, Karimian Hassan, Pour Ahmad Ahmad, Mazaheriyan Hamed (2014)., research on Iranian Islamic cities, 5(17), 5-19.</w:t>
        <w:br/>
        <w:br/>
      </w:r>
      <w:r>
        <w:rPr>
          <w:rFonts w:ascii="Arial-BoldMT" w:hAnsi="Arial-BoldMT" w:cs="Arial-BoldMT" w:eastAsia="Arial-BoldMT"/>
          <w:b w:val="true"/>
          <w:sz w:val="20"/>
        </w:rPr>
        <w:t xml:space="preserve">28.  </w:t>
      </w:r>
      <w:r>
        <w:rPr>
          <w:rFonts w:ascii="Arial-BoldMT" w:hAnsi="Arial-BoldMT" w:cs="Arial-BoldMT" w:eastAsia="Arial-BoldMT"/>
          <w:sz w:val="20"/>
        </w:rPr>
        <w:t>Architectural Morphology in Kabood Mosque of Tabriz. Kabirsaber Mohammadbagher, Mazaheriyan Hamed, Peiravi Mahnaz (2014)., Research on Iranian Architecture, 3(6), 5-23.</w:t>
        <w:br/>
        <w:br/>
      </w:r>
      <w:r>
        <w:rPr>
          <w:rFonts w:ascii="Arial-BoldMT" w:hAnsi="Arial-BoldMT" w:cs="Arial-BoldMT" w:eastAsia="Arial-BoldMT"/>
          <w:b w:val="true"/>
          <w:sz w:val="20"/>
        </w:rPr>
        <w:t xml:space="preserve">29.  </w:t>
      </w:r>
      <w:r>
        <w:rPr>
          <w:rFonts w:ascii="Arial-BoldMT" w:hAnsi="Arial-BoldMT" w:cs="Arial-BoldMT" w:eastAsia="Arial-BoldMT"/>
          <w:sz w:val="20"/>
        </w:rPr>
        <w:t>New Structures:links between past and future. Mazaheriyan Hamed, Shahteimori Yalda, Hanachi Pirouz (2013)., Haft Shahr, اول(37و38), 39-55.</w:t>
        <w:br/>
        <w:br/>
      </w:r>
      <w:r>
        <w:rPr>
          <w:rFonts w:ascii="Arial-BoldMT" w:hAnsi="Arial-BoldMT" w:cs="Arial-BoldMT" w:eastAsia="Arial-BoldMT"/>
          <w:b w:val="true"/>
          <w:sz w:val="20"/>
        </w:rPr>
        <w:t xml:space="preserve">30.  </w:t>
      </w:r>
      <w:r>
        <w:rPr>
          <w:rFonts w:ascii="Arial-BoldMT" w:hAnsi="Arial-BoldMT" w:cs="Arial-BoldMT" w:eastAsia="Arial-BoldMT"/>
          <w:sz w:val="20"/>
        </w:rPr>
        <w:t>Design Guidelines for New Constructions in Historic Context. Mazaheriyan Hamed, Shahteymoori Yalda (2013)., Honar-ha-ye-ziba  Memari-Va-Shahrsazi, 17(4), 29.</w:t>
        <w:br/>
        <w:br/>
      </w:r>
      <w:r>
        <w:rPr>
          <w:rFonts w:ascii="Arial-BoldMT" w:hAnsi="Arial-BoldMT" w:cs="Arial-BoldMT" w:eastAsia="Arial-BoldMT"/>
          <w:b w:val="true"/>
          <w:sz w:val="20"/>
        </w:rPr>
        <w:t xml:space="preserve">31.  </w:t>
      </w:r>
      <w:r>
        <w:rPr>
          <w:rFonts w:ascii="Arial-BoldMT" w:hAnsi="Arial-BoldMT" w:cs="Arial-BoldMT" w:eastAsia="Arial-BoldMT"/>
          <w:sz w:val="20"/>
        </w:rPr>
        <w:t>International Approaches to New Constructions in Historic Context. Mazaheriyan Hamed, Shahteimori Yalda (2012)., Naghshejahan, دوم(دو), 39-55.</w:t>
        <w:br/>
        <w:br/>
      </w:r>
      <w:r>
        <w:rPr>
          <w:rFonts w:ascii="Arial-BoldMT" w:hAnsi="Arial-BoldMT" w:cs="Arial-BoldMT" w:eastAsia="Arial-BoldMT"/>
          <w:b w:val="true"/>
          <w:sz w:val="20"/>
        </w:rPr>
        <w:t xml:space="preserve">32.  </w:t>
      </w:r>
      <w:r>
        <w:rPr>
          <w:rFonts w:ascii="Arial-BoldMT" w:hAnsi="Arial-BoldMT" w:cs="Arial-BoldMT" w:eastAsia="Arial-BoldMT"/>
          <w:sz w:val="20"/>
        </w:rPr>
        <w:t>The review of literature for structural behavior of historic buildings in iran. Mazaheriyan Hamed, Shahteimori Yalda (2011)., Honar-ha-ye-ziba  Memari-Va-Shahrsazi, اول(37و38), 39-55.</w:t>
        <w:br/>
        <w:br/>
      </w:r>
      <w:r>
        <w:rPr>
          <w:rFonts w:ascii="Arial-BoldMT" w:hAnsi="Arial-BoldMT" w:cs="Arial-BoldMT" w:eastAsia="Arial-BoldMT"/>
          <w:b w:val="true"/>
          <w:sz w:val="20"/>
        </w:rPr>
        <w:t xml:space="preserve">33.  </w:t>
      </w:r>
      <w:r>
        <w:rPr>
          <w:rFonts w:ascii="Arial-BoldMT" w:hAnsi="Arial-BoldMT" w:cs="Arial-BoldMT" w:eastAsia="Arial-BoldMT"/>
          <w:sz w:val="20"/>
        </w:rPr>
        <w:t>chizar. Mazaheriyan Hamed, آزاد ارمکی خانم مرضیه (2008)., Abadi, 25(25), 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House as a Mirror of Self: Exploring the Deeper Meaning of Home. Mazaheriyan Hamed, Tabatabaee narges (2021).</w:t>
        <w:br/>
        <w:br/>
      </w:r>
      <w:r>
        <w:rPr>
          <w:rFonts w:ascii="Arial-BoldMT" w:hAnsi="Arial-BoldMT" w:cs="Arial-BoldMT" w:eastAsia="Arial-BoldMT"/>
          <w:b w:val="true"/>
          <w:sz w:val="20"/>
        </w:rPr>
        <w:t xml:space="preserve">2.  </w:t>
      </w:r>
      <w:r>
        <w:rPr>
          <w:rFonts w:ascii="Arial-BoldMT" w:hAnsi="Arial-BoldMT" w:cs="Arial-BoldMT" w:eastAsia="Arial-BoldMT"/>
          <w:sz w:val="20"/>
        </w:rPr>
        <w:t>Fandamentals of Urban River Landscape Revitalization. Mazaheriyan Hamed, Hamzeh Narges, Lotfipor Morteza (2021).</w:t>
        <w:br/>
        <w:br/>
      </w:r>
      <w:r>
        <w:rPr>
          <w:rFonts w:ascii="Arial-BoldMT" w:hAnsi="Arial-BoldMT" w:cs="Arial-BoldMT" w:eastAsia="Arial-BoldMT"/>
          <w:b w:val="true"/>
          <w:sz w:val="20"/>
        </w:rPr>
        <w:t xml:space="preserve">3.  </w:t>
      </w:r>
      <w:r>
        <w:rPr>
          <w:rFonts w:ascii="Arial-BoldMT" w:hAnsi="Arial-BoldMT" w:cs="Arial-BoldMT" w:eastAsia="Arial-BoldMT"/>
          <w:sz w:val="20"/>
        </w:rPr>
        <w:t>Year Book 1 - Studio Work, Theses, Exhibitions and Conferences at School of Architecture, University of Tehran. Mazaheriyan Hamed, Yahya Islami Seyed (2013).</w:t>
        <w:br/>
        <w:br/>
      </w:r>
      <w:r>
        <w:rPr>
          <w:rFonts w:ascii="Arial-BoldMT" w:hAnsi="Arial-BoldMT" w:cs="Arial-BoldMT" w:eastAsia="Arial-BoldMT"/>
          <w:b w:val="true"/>
          <w:sz w:val="20"/>
        </w:rPr>
        <w:t xml:space="preserve">4.  </w:t>
      </w:r>
      <w:r>
        <w:rPr>
          <w:rFonts w:ascii="Arial-BoldMT" w:hAnsi="Arial-BoldMT" w:cs="Arial-BoldMT" w:eastAsia="Arial-BoldMT"/>
          <w:sz w:val="20"/>
        </w:rPr>
        <w:t>New Architectural Technologies. Mohammad Hosein Zadeh Golabchi Mahmoud, Mazaheriyan Hamed (2009).</w:t>
        <w:br/>
        <w:br/>
      </w:r>
      <w:r>
        <w:rPr>
          <w:rFonts w:ascii="Arial-BoldMT" w:hAnsi="Arial-BoldMT" w:cs="Arial-BoldMT" w:eastAsia="Arial-BoldMT"/>
          <w:b w:val="true"/>
          <w:sz w:val="20"/>
        </w:rPr>
        <w:t xml:space="preserve">5.  </w:t>
      </w:r>
      <w:r>
        <w:rPr>
          <w:rFonts w:ascii="Arial-BoldMT" w:hAnsi="Arial-BoldMT" w:cs="Arial-BoldMT" w:eastAsia="Arial-BoldMT"/>
          <w:sz w:val="20"/>
        </w:rPr>
        <w:t>A Bibliography of the Art, Architecture and Archaeology of Iran in the 20th Century. Mazaheriyan Hamed (2005).</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media. Mazaheriyan Hamed (2013)., internatial, 30 November.</w:t>
        <w:br/>
        <w:br/>
      </w:r>
      <w:r>
        <w:rPr>
          <w:rFonts w:ascii="Arial-BoldMT" w:hAnsi="Arial-BoldMT" w:cs="Arial-BoldMT" w:eastAsia="Arial-BoldMT"/>
          <w:b w:val="true"/>
          <w:sz w:val="20"/>
        </w:rPr>
        <w:t xml:space="preserve">2.  </w:t>
      </w:r>
      <w:r>
        <w:rPr>
          <w:rFonts w:ascii="Arial-BoldMT" w:hAnsi="Arial-BoldMT" w:cs="Arial-BoldMT" w:eastAsia="Arial-BoldMT"/>
          <w:sz w:val="20"/>
        </w:rPr>
        <w:t>New Trends and Attempts in Conservation of Modern Built Heritage in Iran. Mazaheriyan Hamed, Naderi Hadi, Mozafari Golnoosh (2013)., Filling the Gaps:  World Heritage and the 20th Century, 3-7 October, India.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Interior Architecture and Profession Seminar</w:t>
        <w:br/>
        <w:br/>
      </w:r>
      <w:r>
        <w:rPr>
          <w:rFonts w:ascii="Arial-BoldMT" w:hAnsi="Arial-BoldMT" w:cs="Arial-BoldMT" w:eastAsia="Arial-BoldMT"/>
          <w:b w:val="true"/>
          <w:sz w:val="20"/>
        </w:rPr>
        <w:t>Comparative study of Iranian and Islamic World Architecture</w:t>
        <w:br/>
        <w:br/>
      </w:r>
      <w:r>
        <w:rPr>
          <w:rFonts w:ascii="Arial-BoldMT" w:hAnsi="Arial-BoldMT" w:cs="Arial-BoldMT" w:eastAsia="Arial-BoldMT"/>
          <w:b w:val="true"/>
          <w:sz w:val="20"/>
        </w:rPr>
        <w:t>Plan 3 Master of Interior Architecture</w:t>
        <w:br/>
        <w:br/>
      </w:r>
      <w:r>
        <w:rPr>
          <w:rFonts w:ascii="Arial-BoldMT" w:hAnsi="Arial-BoldMT" w:cs="Arial-BoldMT" w:eastAsia="Arial-BoldMT"/>
          <w:b w:val="true"/>
          <w:sz w:val="20"/>
        </w:rPr>
        <w:t>Interior Architecture and Profession Seminar</w:t>
        <w:br/>
        <w:br/>
      </w:r>
      <w:r>
        <w:rPr>
          <w:rFonts w:ascii="Arial-BoldMT" w:hAnsi="Arial-BoldMT" w:cs="Arial-BoldMT" w:eastAsia="Arial-BoldMT"/>
          <w:b w:val="true"/>
          <w:sz w:val="20"/>
        </w:rPr>
        <w:t>Comparative study of Iranian and Islamic World Architecture</w:t>
        <w:br/>
        <w:br/>
      </w:r>
      <w:r>
        <w:rPr>
          <w:rFonts w:ascii="Arial-BoldMT" w:hAnsi="Arial-BoldMT" w:cs="Arial-BoldMT" w:eastAsia="Arial-BoldMT"/>
          <w:b w:val="true"/>
          <w:sz w:val="20"/>
        </w:rPr>
        <w:t>Interior Architecture Studio 3</w:t>
        <w:br/>
        <w:br/>
      </w:r>
      <w:r>
        <w:rPr>
          <w:rFonts w:ascii="Arial-BoldMT" w:hAnsi="Arial-BoldMT" w:cs="Arial-BoldMT" w:eastAsia="Arial-BoldMT"/>
          <w:b w:val="true"/>
          <w:sz w:val="20"/>
        </w:rPr>
        <w:t>Comparative study of Iranian and Islamic World Architecture</w:t>
        <w:br/>
        <w:br/>
      </w:r>
      <w:r>
        <w:rPr>
          <w:rFonts w:ascii="Arial-BoldMT" w:hAnsi="Arial-BoldMT" w:cs="Arial-BoldMT" w:eastAsia="Arial-BoldMT"/>
          <w:b w:val="true"/>
          <w:sz w:val="20"/>
        </w:rPr>
        <w:t>Interior Architecture Seminars and Related Fields</w:t>
        <w:br/>
        <w:br/>
      </w:r>
      <w:r>
        <w:rPr>
          <w:rFonts w:ascii="Arial-BoldMT" w:hAnsi="Arial-BoldMT" w:cs="Arial-BoldMT" w:eastAsia="Arial-BoldMT"/>
          <w:b w:val="true"/>
          <w:sz w:val="20"/>
        </w:rPr>
        <w:t>Comparative study of Iranian and Islamic World Architecture</w:t>
        <w:br/>
        <w:br/>
      </w:r>
      <w:r>
        <w:rPr>
          <w:rFonts w:ascii="Arial-BoldMT" w:hAnsi="Arial-BoldMT" w:cs="Arial-BoldMT" w:eastAsia="Arial-BoldMT"/>
          <w:b w:val="true"/>
          <w:sz w:val="20"/>
        </w:rPr>
        <w:t>Interior Architecture Seminars and Related Fields</w:t>
        <w:br/>
        <w:br/>
      </w:r>
      <w:r>
        <w:rPr>
          <w:rFonts w:ascii="Arial-BoldMT" w:hAnsi="Arial-BoldMT" w:cs="Arial-BoldMT" w:eastAsia="Arial-BoldMT"/>
          <w:b w:val="true"/>
          <w:sz w:val="20"/>
        </w:rPr>
        <w:t>Comparative study of Iranian and Islamic World Architecture</w:t>
        <w:br/>
        <w:br/>
      </w:r>
      <w:r>
        <w:rPr>
          <w:rFonts w:ascii="Arial-BoldMT" w:hAnsi="Arial-BoldMT" w:cs="Arial-BoldMT" w:eastAsia="Arial-BoldMT"/>
          <w:b w:val="true"/>
          <w:sz w:val="20"/>
        </w:rPr>
        <w:t>Interior Architecture Seminars and Related Fields</w:t>
        <w:br/>
        <w:br/>
      </w:r>
      <w:r>
        <w:rPr>
          <w:rFonts w:ascii="Arial-BoldMT" w:hAnsi="Arial-BoldMT" w:cs="Arial-BoldMT" w:eastAsia="Arial-BoldMT"/>
          <w:b w:val="true"/>
          <w:sz w:val="20"/>
        </w:rPr>
        <w:t>Islamic Architecture 1</w:t>
        <w:br/>
        <w:br/>
      </w:r>
      <w:r>
        <w:rPr>
          <w:rFonts w:ascii="Arial-BoldMT" w:hAnsi="Arial-BoldMT" w:cs="Arial-BoldMT" w:eastAsia="Arial-BoldMT"/>
          <w:b w:val="true"/>
          <w:sz w:val="20"/>
        </w:rPr>
        <w:t>Comparative study of Iranian and Islamic World Architecture</w:t>
        <w:br/>
        <w:br/>
      </w:r>
      <w:r>
        <w:rPr>
          <w:rFonts w:ascii="Arial-BoldMT" w:hAnsi="Arial-BoldMT" w:cs="Arial-BoldMT" w:eastAsia="Arial-BoldMT"/>
          <w:b w:val="true"/>
          <w:sz w:val="20"/>
        </w:rPr>
        <w:t>Islamic Architecture 1</w:t>
        <w:br/>
        <w:br/>
      </w:r>
      <w:r>
        <w:rPr>
          <w:rFonts w:ascii="Arial-BoldMT" w:hAnsi="Arial-BoldMT" w:cs="Arial-BoldMT" w:eastAsia="Arial-BoldMT"/>
          <w:b w:val="true"/>
          <w:sz w:val="20"/>
        </w:rPr>
        <w:t>Interior Architecture Seminars and Related Fields</w:t>
        <w:br/>
        <w:br/>
      </w:r>
      <w:r>
        <w:rPr>
          <w:rFonts w:ascii="Arial-BoldMT" w:hAnsi="Arial-BoldMT" w:cs="Arial-BoldMT" w:eastAsia="Arial-BoldMT"/>
          <w:b w:val="true"/>
          <w:sz w:val="20"/>
        </w:rPr>
        <w:t>Islamic Architecture 1</w:t>
        <w:br/>
        <w:br/>
      </w:r>
      <w:r>
        <w:rPr>
          <w:rFonts w:ascii="Arial-BoldMT" w:hAnsi="Arial-BoldMT" w:cs="Arial-BoldMT" w:eastAsia="Arial-BoldMT"/>
          <w:b w:val="true"/>
          <w:sz w:val="20"/>
        </w:rPr>
        <w:t>Comparative study of Iranian and Islamic World Architecture</w:t>
        <w:br/>
        <w:br/>
      </w:r>
      <w:r>
        <w:rPr>
          <w:rFonts w:ascii="Arial-BoldMT" w:hAnsi="Arial-BoldMT" w:cs="Arial-BoldMT" w:eastAsia="Arial-BoldMT"/>
          <w:b w:val="true"/>
          <w:sz w:val="20"/>
        </w:rPr>
        <w:t>Islamic Architecture 1</w:t>
        <w:br/>
        <w:br/>
      </w:r>
      <w:r>
        <w:rPr>
          <w:rFonts w:ascii="Arial-BoldMT" w:hAnsi="Arial-BoldMT" w:cs="Arial-BoldMT" w:eastAsia="Arial-BoldMT"/>
          <w:b w:val="true"/>
          <w:sz w:val="20"/>
        </w:rPr>
        <w:t>Comparative study of Iranian and Islamic World Architecture</w:t>
        <w:br/>
        <w:br/>
      </w:r>
      <w:r>
        <w:rPr>
          <w:rFonts w:ascii="Arial-BoldMT" w:hAnsi="Arial-BoldMT" w:cs="Arial-BoldMT" w:eastAsia="Arial-BoldMT"/>
          <w:b w:val="true"/>
          <w:sz w:val="20"/>
        </w:rPr>
        <w:t>Islamic Architecture 1</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Hamed Mazaheriyan</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